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07" w:rsidRPr="00234804" w:rsidRDefault="00A825DA" w:rsidP="00234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804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2</w:t>
      </w:r>
      <w:r w:rsidR="00A6051B" w:rsidRPr="00234804">
        <w:rPr>
          <w:rFonts w:ascii="Times New Roman" w:hAnsi="Times New Roman" w:cs="Times New Roman"/>
          <w:sz w:val="24"/>
          <w:szCs w:val="24"/>
        </w:rPr>
        <w:t>9</w:t>
      </w:r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("Sl. list CG", br. 2/18, 34/19, 38/20, 50/22 i 84/22),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član</w:t>
      </w:r>
      <w:r w:rsidR="00BF428F" w:rsidRPr="0023480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F428F" w:rsidRPr="00234804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="00BF428F" w:rsidRPr="0023480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BF428F" w:rsidRPr="00234804">
        <w:rPr>
          <w:rFonts w:ascii="Times New Roman" w:hAnsi="Times New Roman" w:cs="Times New Roman"/>
          <w:sz w:val="24"/>
          <w:szCs w:val="24"/>
        </w:rPr>
        <w:t xml:space="preserve"> 2 i </w:t>
      </w:r>
      <w:proofErr w:type="spellStart"/>
      <w:r w:rsidR="00BF428F" w:rsidRPr="00234804">
        <w:rPr>
          <w:rFonts w:ascii="Times New Roman" w:hAnsi="Times New Roman" w:cs="Times New Roman"/>
          <w:sz w:val="24"/>
          <w:szCs w:val="24"/>
        </w:rPr>
        <w:t>čl</w:t>
      </w:r>
      <w:proofErr w:type="spellEnd"/>
      <w:r w:rsidR="00BF428F" w:rsidRPr="00234804">
        <w:rPr>
          <w:rFonts w:ascii="Times New Roman" w:hAnsi="Times New Roman" w:cs="Times New Roman"/>
          <w:sz w:val="24"/>
          <w:szCs w:val="24"/>
        </w:rPr>
        <w:t>.</w:t>
      </w:r>
      <w:r w:rsidRPr="00234804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BF428F" w:rsidRPr="0023480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BF428F" w:rsidRPr="0023480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zaradama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javnom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sektoru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("Sl. list CG", br. 16/16, 83/16, 21/</w:t>
      </w:r>
      <w:r w:rsidR="001363C8" w:rsidRPr="00234804">
        <w:rPr>
          <w:rFonts w:ascii="Times New Roman" w:hAnsi="Times New Roman" w:cs="Times New Roman"/>
          <w:sz w:val="24"/>
          <w:szCs w:val="24"/>
        </w:rPr>
        <w:t>17, 42/17, 12/18, 39/18, 42/18,</w:t>
      </w:r>
      <w:r w:rsidRPr="00234804">
        <w:rPr>
          <w:rFonts w:ascii="Times New Roman" w:hAnsi="Times New Roman" w:cs="Times New Roman"/>
          <w:sz w:val="24"/>
          <w:szCs w:val="24"/>
        </w:rPr>
        <w:t xml:space="preserve"> 34/19</w:t>
      </w:r>
      <w:r w:rsidR="00F3381C" w:rsidRPr="00234804">
        <w:rPr>
          <w:rFonts w:ascii="Times New Roman" w:hAnsi="Times New Roman" w:cs="Times New Roman"/>
          <w:sz w:val="24"/>
          <w:szCs w:val="24"/>
        </w:rPr>
        <w:t>, 130/21, 146/21, 092/22</w:t>
      </w:r>
      <w:r w:rsidR="005854C8" w:rsidRPr="00234804">
        <w:rPr>
          <w:rFonts w:ascii="Times New Roman" w:hAnsi="Times New Roman" w:cs="Times New Roman"/>
          <w:sz w:val="24"/>
          <w:szCs w:val="24"/>
        </w:rPr>
        <w:t xml:space="preserve"> i</w:t>
      </w:r>
      <w:r w:rsidR="00F3381C" w:rsidRPr="00234804">
        <w:rPr>
          <w:rFonts w:ascii="Times New Roman" w:hAnsi="Times New Roman" w:cs="Times New Roman"/>
          <w:sz w:val="24"/>
          <w:szCs w:val="24"/>
        </w:rPr>
        <w:t xml:space="preserve"> 152/22</w:t>
      </w:r>
      <w:r w:rsidRPr="00234804">
        <w:rPr>
          <w:rFonts w:ascii="Times New Roman" w:hAnsi="Times New Roman" w:cs="Times New Roman"/>
          <w:sz w:val="24"/>
          <w:szCs w:val="24"/>
        </w:rPr>
        <w:t>),</w:t>
      </w:r>
      <w:r w:rsid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80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3056C5" w:rsidRPr="00234804">
        <w:rPr>
          <w:rFonts w:ascii="Times New Roman" w:hAnsi="Times New Roman" w:cs="Times New Roman"/>
          <w:sz w:val="24"/>
          <w:szCs w:val="24"/>
        </w:rPr>
        <w:t xml:space="preserve"> 2 i 9</w:t>
      </w:r>
      <w:r w:rsidR="00C1616C"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16C" w:rsidRPr="00234804">
        <w:rPr>
          <w:rFonts w:ascii="Times New Roman" w:hAnsi="Times New Roman" w:cs="Times New Roman"/>
          <w:sz w:val="24"/>
          <w:szCs w:val="24"/>
        </w:rPr>
        <w:t>Granskog</w:t>
      </w:r>
      <w:proofErr w:type="spellEnd"/>
      <w:r w:rsidR="00C1616C"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16C" w:rsidRPr="00234804">
        <w:rPr>
          <w:rFonts w:ascii="Times New Roman" w:hAnsi="Times New Roman" w:cs="Times New Roman"/>
          <w:sz w:val="24"/>
          <w:szCs w:val="24"/>
        </w:rPr>
        <w:t>kolektivnog</w:t>
      </w:r>
      <w:proofErr w:type="spellEnd"/>
      <w:r w:rsidR="00C1616C"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16C" w:rsidRPr="00234804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="00C1616C"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16C" w:rsidRPr="0023480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1616C" w:rsidRPr="00234804">
        <w:rPr>
          <w:rFonts w:ascii="Times New Roman" w:hAnsi="Times New Roman" w:cs="Times New Roman"/>
          <w:sz w:val="24"/>
          <w:szCs w:val="24"/>
        </w:rPr>
        <w:t xml:space="preserve"> oblast </w:t>
      </w:r>
      <w:proofErr w:type="spellStart"/>
      <w:r w:rsidR="00C1616C" w:rsidRPr="00234804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="00C1616C" w:rsidRPr="0023480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1616C" w:rsidRPr="00234804">
        <w:rPr>
          <w:rFonts w:ascii="Times New Roman" w:hAnsi="Times New Roman" w:cs="Times New Roman"/>
          <w:sz w:val="24"/>
          <w:szCs w:val="24"/>
        </w:rPr>
        <w:t>pravosuđa</w:t>
      </w:r>
      <w:proofErr w:type="spellEnd"/>
      <w:r w:rsidR="00C1616C" w:rsidRPr="00234804">
        <w:rPr>
          <w:rFonts w:ascii="Times New Roman" w:hAnsi="Times New Roman" w:cs="Times New Roman"/>
          <w:sz w:val="24"/>
          <w:szCs w:val="24"/>
        </w:rPr>
        <w:t xml:space="preserve"> </w:t>
      </w:r>
      <w:r w:rsidR="0023480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1616C" w:rsidRPr="00234804">
        <w:rPr>
          <w:rFonts w:ascii="Times New Roman" w:hAnsi="Times New Roman" w:cs="Times New Roman"/>
          <w:sz w:val="24"/>
          <w:szCs w:val="24"/>
        </w:rPr>
        <w:t>(</w:t>
      </w:r>
      <w:r w:rsidR="00234804">
        <w:rPr>
          <w:rFonts w:ascii="Times New Roman" w:hAnsi="Times New Roman" w:cs="Times New Roman"/>
          <w:sz w:val="24"/>
          <w:szCs w:val="24"/>
        </w:rPr>
        <w:t>“</w:t>
      </w:r>
      <w:r w:rsidR="00C1616C" w:rsidRPr="00234804">
        <w:rPr>
          <w:rFonts w:ascii="Times New Roman" w:hAnsi="Times New Roman" w:cs="Times New Roman"/>
          <w:sz w:val="24"/>
          <w:szCs w:val="24"/>
        </w:rPr>
        <w:t>Sl.</w:t>
      </w:r>
      <w:r w:rsidR="00234804">
        <w:rPr>
          <w:rFonts w:ascii="Times New Roman" w:hAnsi="Times New Roman" w:cs="Times New Roman"/>
          <w:sz w:val="24"/>
          <w:szCs w:val="24"/>
        </w:rPr>
        <w:t xml:space="preserve"> </w:t>
      </w:r>
      <w:r w:rsidR="00C1616C" w:rsidRPr="00234804">
        <w:rPr>
          <w:rFonts w:ascii="Times New Roman" w:hAnsi="Times New Roman" w:cs="Times New Roman"/>
          <w:sz w:val="24"/>
          <w:szCs w:val="24"/>
        </w:rPr>
        <w:t>list CG</w:t>
      </w:r>
      <w:r w:rsidR="00234804">
        <w:rPr>
          <w:rFonts w:ascii="Times New Roman" w:hAnsi="Times New Roman" w:cs="Times New Roman"/>
          <w:sz w:val="24"/>
          <w:szCs w:val="24"/>
        </w:rPr>
        <w:t xml:space="preserve">”, </w:t>
      </w:r>
      <w:r w:rsidR="00C1616C" w:rsidRPr="00234804">
        <w:rPr>
          <w:rFonts w:ascii="Times New Roman" w:hAnsi="Times New Roman" w:cs="Times New Roman"/>
          <w:sz w:val="24"/>
          <w:szCs w:val="24"/>
        </w:rPr>
        <w:t xml:space="preserve"> br.</w:t>
      </w:r>
      <w:r w:rsidR="00234804">
        <w:rPr>
          <w:rFonts w:ascii="Times New Roman" w:hAnsi="Times New Roman" w:cs="Times New Roman"/>
          <w:sz w:val="24"/>
          <w:szCs w:val="24"/>
        </w:rPr>
        <w:t xml:space="preserve"> </w:t>
      </w:r>
      <w:r w:rsidR="00282EFF" w:rsidRPr="00234804">
        <w:rPr>
          <w:rFonts w:ascii="Times New Roman" w:hAnsi="Times New Roman" w:cs="Times New Roman"/>
          <w:sz w:val="24"/>
          <w:szCs w:val="24"/>
        </w:rPr>
        <w:t>18/23)</w:t>
      </w:r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("Sl. list CG -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", </w:t>
      </w:r>
      <w:r w:rsidR="0023480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34804">
        <w:rPr>
          <w:rFonts w:ascii="Times New Roman" w:hAnsi="Times New Roman" w:cs="Times New Roman"/>
          <w:sz w:val="24"/>
          <w:szCs w:val="24"/>
        </w:rPr>
        <w:t>br. 38/18</w:t>
      </w:r>
      <w:r w:rsidR="001363C8" w:rsidRPr="00234804">
        <w:rPr>
          <w:rFonts w:ascii="Times New Roman" w:hAnsi="Times New Roman" w:cs="Times New Roman"/>
          <w:sz w:val="24"/>
          <w:szCs w:val="24"/>
        </w:rPr>
        <w:t xml:space="preserve"> i 16/21</w:t>
      </w:r>
      <w:r w:rsidRPr="0023480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prethodno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pribavljenu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saglasnost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Ministarstva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finansija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Gore,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r w:rsidR="007B1842" w:rsidRPr="00234804">
        <w:rPr>
          <w:rFonts w:ascii="Times New Roman" w:hAnsi="Times New Roman" w:cs="Times New Roman"/>
          <w:sz w:val="24"/>
          <w:szCs w:val="24"/>
        </w:rPr>
        <w:t>04-110/23-1883/1</w:t>
      </w:r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r w:rsidR="007B1842" w:rsidRPr="00234804">
        <w:rPr>
          <w:rFonts w:ascii="Times New Roman" w:hAnsi="Times New Roman" w:cs="Times New Roman"/>
          <w:sz w:val="24"/>
          <w:szCs w:val="24"/>
        </w:rPr>
        <w:t>05</w:t>
      </w:r>
      <w:r w:rsidRPr="00234804">
        <w:rPr>
          <w:rFonts w:ascii="Times New Roman" w:hAnsi="Times New Roman" w:cs="Times New Roman"/>
          <w:sz w:val="24"/>
          <w:szCs w:val="24"/>
        </w:rPr>
        <w:t>.</w:t>
      </w:r>
      <w:r w:rsidR="007B1842" w:rsidRPr="00234804">
        <w:rPr>
          <w:rFonts w:ascii="Times New Roman" w:hAnsi="Times New Roman" w:cs="Times New Roman"/>
          <w:sz w:val="24"/>
          <w:szCs w:val="24"/>
        </w:rPr>
        <w:t>05.2023.</w:t>
      </w:r>
      <w:r w:rsidRPr="00234804">
        <w:rPr>
          <w:rFonts w:ascii="Times New Roman" w:hAnsi="Times New Roman" w:cs="Times New Roman"/>
          <w:sz w:val="24"/>
          <w:szCs w:val="24"/>
        </w:rPr>
        <w:t xml:space="preserve">godine,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</w:t>
      </w:r>
      <w:r w:rsidR="00234804">
        <w:rPr>
          <w:rFonts w:ascii="Times New Roman" w:hAnsi="Times New Roman" w:cs="Times New Roman"/>
          <w:sz w:val="24"/>
          <w:szCs w:val="24"/>
        </w:rPr>
        <w:t>25.05.</w:t>
      </w:r>
      <w:r w:rsidR="00D563CB">
        <w:rPr>
          <w:rFonts w:ascii="Times New Roman" w:hAnsi="Times New Roman" w:cs="Times New Roman"/>
          <w:sz w:val="24"/>
          <w:szCs w:val="24"/>
        </w:rPr>
        <w:t>2023.</w:t>
      </w:r>
      <w:r w:rsidRPr="00234804">
        <w:rPr>
          <w:rFonts w:ascii="Times New Roman" w:hAnsi="Times New Roman" w:cs="Times New Roman"/>
          <w:sz w:val="24"/>
          <w:szCs w:val="24"/>
        </w:rPr>
        <w:t xml:space="preserve">godine, </w:t>
      </w:r>
      <w:proofErr w:type="spellStart"/>
      <w:r w:rsidRPr="00234804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234804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A825DA" w:rsidRPr="00234804" w:rsidRDefault="00A825DA" w:rsidP="002348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804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E63C48" w:rsidRPr="00234804" w:rsidRDefault="001A0C70" w:rsidP="002348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zaradama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lokal</w:t>
      </w:r>
      <w:r w:rsidR="00A825DA" w:rsidRPr="00234804">
        <w:rPr>
          <w:rFonts w:ascii="Times New Roman" w:hAnsi="Times New Roman" w:cs="Times New Roman"/>
          <w:b/>
          <w:sz w:val="24"/>
          <w:szCs w:val="24"/>
        </w:rPr>
        <w:t>nih</w:t>
      </w:r>
      <w:proofErr w:type="spellEnd"/>
      <w:r w:rsidR="00A825DA" w:rsidRPr="002348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25DA" w:rsidRPr="00234804">
        <w:rPr>
          <w:rFonts w:ascii="Times New Roman" w:hAnsi="Times New Roman" w:cs="Times New Roman"/>
          <w:b/>
          <w:sz w:val="24"/>
          <w:szCs w:val="24"/>
        </w:rPr>
        <w:t>službenika</w:t>
      </w:r>
      <w:proofErr w:type="spellEnd"/>
      <w:r w:rsidR="00A825DA" w:rsidRPr="00234804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A825DA" w:rsidRPr="00234804">
        <w:rPr>
          <w:rFonts w:ascii="Times New Roman" w:hAnsi="Times New Roman" w:cs="Times New Roman"/>
          <w:b/>
          <w:sz w:val="24"/>
          <w:szCs w:val="24"/>
        </w:rPr>
        <w:t>namještenika</w:t>
      </w:r>
      <w:proofErr w:type="spellEnd"/>
      <w:r w:rsidR="00A825DA" w:rsidRPr="00234804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="00A825DA" w:rsidRPr="00234804">
        <w:rPr>
          <w:rFonts w:ascii="Times New Roman" w:hAnsi="Times New Roman" w:cs="Times New Roman"/>
          <w:b/>
          <w:sz w:val="24"/>
          <w:szCs w:val="24"/>
        </w:rPr>
        <w:t>opštini</w:t>
      </w:r>
      <w:proofErr w:type="spellEnd"/>
      <w:r w:rsidR="00A825DA" w:rsidRPr="002348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825DA" w:rsidRPr="00234804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:rsidR="00485C0A" w:rsidRPr="00234804" w:rsidRDefault="00485C0A" w:rsidP="002348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C48" w:rsidRPr="00234804" w:rsidRDefault="00E63C48" w:rsidP="00234804">
      <w:pPr>
        <w:pStyle w:val="N01X"/>
        <w:spacing w:after="0"/>
      </w:pPr>
      <w:r w:rsidRPr="00234804">
        <w:t>I OPŠTE ODREDBE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</w:t>
      </w:r>
    </w:p>
    <w:p w:rsidR="00E63C48" w:rsidRPr="00234804" w:rsidRDefault="00E63C48" w:rsidP="00234804">
      <w:pPr>
        <w:pStyle w:val="T30X"/>
        <w:spacing w:after="0"/>
        <w:ind w:firstLine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Zaposleni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organima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samouprave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organizacijama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centrima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javnim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privrednim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društvima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čiji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osnivač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ostvaruju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pravo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na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zaradu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naknadu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primanja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skladu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zakonom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ovom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odlukom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opštim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granskim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kolektivnim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ugovorom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propisima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T30X"/>
        <w:spacing w:after="0"/>
        <w:ind w:firstLine="0"/>
        <w:rPr>
          <w:sz w:val="24"/>
          <w:szCs w:val="24"/>
        </w:rPr>
      </w:pPr>
      <w:r w:rsidRPr="00234804">
        <w:rPr>
          <w:sz w:val="24"/>
          <w:szCs w:val="24"/>
        </w:rPr>
        <w:t xml:space="preserve">Ova </w:t>
      </w:r>
      <w:proofErr w:type="spellStart"/>
      <w:r w:rsidRPr="00234804">
        <w:rPr>
          <w:sz w:val="24"/>
          <w:szCs w:val="24"/>
        </w:rPr>
        <w:t>Odluka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primjenjuje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proofErr w:type="gramStart"/>
      <w:r w:rsidRPr="00234804">
        <w:rPr>
          <w:sz w:val="24"/>
          <w:szCs w:val="24"/>
        </w:rPr>
        <w:t>na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službenike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namještenike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organima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samouprave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organizacijama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centrima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javnim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privrednim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društvima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čiji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osnivač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samouprava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2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Sredstva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naknade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primanja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obezbjeđuju</w:t>
      </w:r>
      <w:proofErr w:type="spellEnd"/>
      <w:r w:rsidRPr="00234804">
        <w:rPr>
          <w:sz w:val="24"/>
          <w:szCs w:val="24"/>
        </w:rPr>
        <w:t xml:space="preserve"> se u </w:t>
      </w:r>
      <w:proofErr w:type="spellStart"/>
      <w:r w:rsidRPr="00234804">
        <w:rPr>
          <w:sz w:val="24"/>
          <w:szCs w:val="24"/>
        </w:rPr>
        <w:t>Budžetu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opštine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Rožaje</w:t>
      </w:r>
      <w:proofErr w:type="spellEnd"/>
      <w:r w:rsidRPr="00234804">
        <w:rPr>
          <w:sz w:val="24"/>
          <w:szCs w:val="24"/>
        </w:rPr>
        <w:t xml:space="preserve"> (u </w:t>
      </w:r>
      <w:proofErr w:type="spellStart"/>
      <w:r w:rsidRPr="00234804">
        <w:rPr>
          <w:sz w:val="24"/>
          <w:szCs w:val="24"/>
        </w:rPr>
        <w:t>daljem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tekstu</w:t>
      </w:r>
      <w:proofErr w:type="spellEnd"/>
      <w:r w:rsidRPr="00234804">
        <w:rPr>
          <w:sz w:val="24"/>
          <w:szCs w:val="24"/>
        </w:rPr>
        <w:t xml:space="preserve">: </w:t>
      </w:r>
      <w:proofErr w:type="spellStart"/>
      <w:r w:rsidRPr="00234804">
        <w:rPr>
          <w:sz w:val="24"/>
          <w:szCs w:val="24"/>
        </w:rPr>
        <w:t>Budžet</w:t>
      </w:r>
      <w:proofErr w:type="spellEnd"/>
      <w:r w:rsidRPr="00234804">
        <w:rPr>
          <w:sz w:val="24"/>
          <w:szCs w:val="24"/>
        </w:rPr>
        <w:t>).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3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Zarada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utvrđuje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pojedinačnim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aktom</w:t>
      </w:r>
      <w:proofErr w:type="spellEnd"/>
      <w:r w:rsidRPr="00234804">
        <w:rPr>
          <w:sz w:val="24"/>
          <w:szCs w:val="24"/>
        </w:rPr>
        <w:t xml:space="preserve"> - </w:t>
      </w:r>
      <w:proofErr w:type="spellStart"/>
      <w:r w:rsidRPr="00234804">
        <w:rPr>
          <w:sz w:val="24"/>
          <w:szCs w:val="24"/>
        </w:rPr>
        <w:t>rješenjem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skladu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sa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zakonom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ovom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odlukom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propisom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4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Podaci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zaradama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dostupni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javnosti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skladu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sa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zakonom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5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proofErr w:type="gramStart"/>
      <w:r w:rsidRPr="00234804">
        <w:rPr>
          <w:sz w:val="24"/>
          <w:szCs w:val="24"/>
        </w:rPr>
        <w:t>Izrazi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koji</w:t>
      </w:r>
      <w:proofErr w:type="spellEnd"/>
      <w:r w:rsidRPr="00234804">
        <w:rPr>
          <w:sz w:val="24"/>
          <w:szCs w:val="24"/>
        </w:rPr>
        <w:t xml:space="preserve"> se u </w:t>
      </w:r>
      <w:proofErr w:type="spellStart"/>
      <w:r w:rsidRPr="00234804">
        <w:rPr>
          <w:sz w:val="24"/>
          <w:szCs w:val="24"/>
        </w:rPr>
        <w:t>ovoj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odluci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koriste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fizička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lica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muškom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rodu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podrazumijevaju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iste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izraze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ženskom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rodu</w:t>
      </w:r>
      <w:proofErr w:type="spellEnd"/>
      <w:r w:rsidRPr="00234804">
        <w:rPr>
          <w:sz w:val="24"/>
          <w:szCs w:val="24"/>
        </w:rPr>
        <w:t>.</w:t>
      </w:r>
      <w:proofErr w:type="gramEnd"/>
    </w:p>
    <w:p w:rsidR="00E63C48" w:rsidRPr="00234804" w:rsidRDefault="00E63C48" w:rsidP="00234804">
      <w:pPr>
        <w:pStyle w:val="N01X"/>
        <w:spacing w:after="0"/>
      </w:pPr>
      <w:r w:rsidRPr="00234804">
        <w:t>II ZARADA LOKALNIH SLUŽBENIKA I NAMJEŠTENIKA</w:t>
      </w:r>
    </w:p>
    <w:p w:rsidR="00E63C48" w:rsidRPr="00234804" w:rsidRDefault="00E63C48" w:rsidP="00234804">
      <w:pPr>
        <w:pStyle w:val="N01X"/>
        <w:spacing w:after="0"/>
      </w:pPr>
      <w:proofErr w:type="spellStart"/>
      <w:r w:rsidRPr="00234804">
        <w:t>Struktura</w:t>
      </w:r>
      <w:proofErr w:type="spellEnd"/>
      <w:r w:rsidRPr="00234804">
        <w:t xml:space="preserve"> </w:t>
      </w:r>
      <w:proofErr w:type="spellStart"/>
      <w:r w:rsidRPr="00234804">
        <w:t>zarade</w:t>
      </w:r>
      <w:proofErr w:type="spellEnd"/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6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Zarada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odnosno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sastoji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>:</w:t>
      </w:r>
    </w:p>
    <w:p w:rsidR="00E63C48" w:rsidRPr="00234804" w:rsidRDefault="00E63C48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- </w:t>
      </w:r>
      <w:proofErr w:type="spellStart"/>
      <w:proofErr w:type="gramStart"/>
      <w:r w:rsidRPr="00234804">
        <w:rPr>
          <w:sz w:val="24"/>
          <w:szCs w:val="24"/>
        </w:rPr>
        <w:t>osnovne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>;</w:t>
      </w:r>
    </w:p>
    <w:p w:rsidR="00E63C48" w:rsidRPr="00234804" w:rsidRDefault="00E63C48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- </w:t>
      </w:r>
      <w:proofErr w:type="spellStart"/>
      <w:proofErr w:type="gramStart"/>
      <w:r w:rsidRPr="00234804">
        <w:rPr>
          <w:sz w:val="24"/>
          <w:szCs w:val="24"/>
        </w:rPr>
        <w:t>posebnog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dijela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>;</w:t>
      </w:r>
    </w:p>
    <w:p w:rsidR="00E63C48" w:rsidRPr="00234804" w:rsidRDefault="00E63C48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lastRenderedPageBreak/>
        <w:t xml:space="preserve">   - </w:t>
      </w:r>
      <w:proofErr w:type="spellStart"/>
      <w:proofErr w:type="gramStart"/>
      <w:r w:rsidRPr="00234804">
        <w:rPr>
          <w:sz w:val="24"/>
          <w:szCs w:val="24"/>
        </w:rPr>
        <w:t>dodatka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osnovnu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zaradu</w:t>
      </w:r>
      <w:proofErr w:type="spellEnd"/>
      <w:r w:rsidRPr="00234804">
        <w:rPr>
          <w:sz w:val="24"/>
          <w:szCs w:val="24"/>
        </w:rPr>
        <w:t>;</w:t>
      </w:r>
    </w:p>
    <w:p w:rsidR="00E63C48" w:rsidRPr="00234804" w:rsidRDefault="00E63C48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- </w:t>
      </w:r>
      <w:proofErr w:type="spellStart"/>
      <w:proofErr w:type="gramStart"/>
      <w:r w:rsidRPr="00234804">
        <w:rPr>
          <w:sz w:val="24"/>
          <w:szCs w:val="24"/>
        </w:rPr>
        <w:t>varijabilnog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dijela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7</w:t>
      </w:r>
    </w:p>
    <w:p w:rsidR="00E63C48" w:rsidRPr="00234804" w:rsidRDefault="00E63C48" w:rsidP="00234804">
      <w:pPr>
        <w:pStyle w:val="C31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Način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utvrđivanja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osnovne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Osnovna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zaposlenog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puno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radno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vrijeme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standardni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učinak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utvrđuje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množenjem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koeficijenta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predviđenog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grupe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podgrupe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koje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raspoređeno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njegovo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zvanje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sa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obračunskom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vrijednošću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koeficijenta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utvrđuje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Vlada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Crne</w:t>
      </w:r>
      <w:proofErr w:type="spellEnd"/>
      <w:r w:rsidRPr="00234804">
        <w:rPr>
          <w:sz w:val="24"/>
          <w:szCs w:val="24"/>
        </w:rPr>
        <w:t xml:space="preserve"> Gore. </w:t>
      </w:r>
      <w:proofErr w:type="spellStart"/>
      <w:r w:rsidRPr="00234804">
        <w:rPr>
          <w:sz w:val="24"/>
          <w:szCs w:val="24"/>
        </w:rPr>
        <w:t>Obračunsku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vrijednost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koeficijenta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predlaže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Vladi</w:t>
      </w:r>
      <w:proofErr w:type="spellEnd"/>
      <w:r w:rsidRPr="00234804">
        <w:rPr>
          <w:sz w:val="24"/>
          <w:szCs w:val="24"/>
        </w:rPr>
        <w:t xml:space="preserve"> organ </w:t>
      </w:r>
      <w:proofErr w:type="spellStart"/>
      <w:r w:rsidRPr="00234804">
        <w:rPr>
          <w:sz w:val="24"/>
          <w:szCs w:val="24"/>
        </w:rPr>
        <w:t>nadležan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budžeta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nakon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obavljenih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pregovora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sa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predstavnicima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reprezentativnih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sindikata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Obračunsku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vrijednost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koeficijenta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stave 1 </w:t>
      </w:r>
      <w:proofErr w:type="spellStart"/>
      <w:r w:rsidRPr="00234804">
        <w:rPr>
          <w:sz w:val="24"/>
          <w:szCs w:val="24"/>
        </w:rPr>
        <w:t>ovog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člana</w:t>
      </w:r>
      <w:proofErr w:type="gramStart"/>
      <w:r w:rsidRPr="00234804">
        <w:rPr>
          <w:sz w:val="24"/>
          <w:szCs w:val="24"/>
        </w:rPr>
        <w:t>,u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bruto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iznosu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Vlada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utvrđuje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najkasnije</w:t>
      </w:r>
      <w:proofErr w:type="spellEnd"/>
      <w:r w:rsidRPr="00234804">
        <w:rPr>
          <w:sz w:val="24"/>
          <w:szCs w:val="24"/>
        </w:rPr>
        <w:t xml:space="preserve"> do </w:t>
      </w:r>
      <w:proofErr w:type="spellStart"/>
      <w:r w:rsidRPr="00234804">
        <w:rPr>
          <w:sz w:val="24"/>
          <w:szCs w:val="24"/>
        </w:rPr>
        <w:t>decembra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narednu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fiskalnu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godinu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Obračunsku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vrijednost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koeficijenta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stave 1 </w:t>
      </w:r>
      <w:proofErr w:type="spellStart"/>
      <w:r w:rsidRPr="00234804">
        <w:rPr>
          <w:sz w:val="24"/>
          <w:szCs w:val="24"/>
        </w:rPr>
        <w:t>ovog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člana</w:t>
      </w:r>
      <w:proofErr w:type="spellEnd"/>
      <w:r w:rsidRPr="00234804">
        <w:rPr>
          <w:sz w:val="24"/>
          <w:szCs w:val="24"/>
        </w:rPr>
        <w:t xml:space="preserve">, u </w:t>
      </w:r>
      <w:proofErr w:type="spellStart"/>
      <w:r w:rsidRPr="00234804">
        <w:rPr>
          <w:sz w:val="24"/>
          <w:szCs w:val="24"/>
        </w:rPr>
        <w:t>bruto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iznosu</w:t>
      </w:r>
      <w:proofErr w:type="gramStart"/>
      <w:r w:rsidRPr="00234804">
        <w:rPr>
          <w:sz w:val="24"/>
          <w:szCs w:val="24"/>
        </w:rPr>
        <w:t>,Vlada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utvrđuje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najkasnije</w:t>
      </w:r>
      <w:proofErr w:type="spellEnd"/>
      <w:r w:rsidRPr="00234804">
        <w:rPr>
          <w:sz w:val="24"/>
          <w:szCs w:val="24"/>
        </w:rPr>
        <w:t xml:space="preserve"> do </w:t>
      </w:r>
      <w:proofErr w:type="spellStart"/>
      <w:r w:rsidRPr="00234804">
        <w:rPr>
          <w:sz w:val="24"/>
          <w:szCs w:val="24"/>
        </w:rPr>
        <w:t>decembra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tekuće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godine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narednu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fiskalnu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godinu</w:t>
      </w:r>
      <w:proofErr w:type="spellEnd"/>
      <w:r w:rsidRPr="00234804">
        <w:rPr>
          <w:sz w:val="24"/>
          <w:szCs w:val="24"/>
        </w:rPr>
        <w:t>.</w:t>
      </w:r>
    </w:p>
    <w:p w:rsidR="00E63C48" w:rsidRPr="00234804" w:rsidRDefault="00E63C48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8</w:t>
      </w:r>
    </w:p>
    <w:p w:rsidR="00E63C48" w:rsidRPr="00234804" w:rsidRDefault="00E63C48" w:rsidP="00234804">
      <w:pPr>
        <w:pStyle w:val="C31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Raspoređivanje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grupe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poslova</w:t>
      </w:r>
      <w:proofErr w:type="spellEnd"/>
    </w:p>
    <w:p w:rsidR="006330C5" w:rsidRPr="00234804" w:rsidRDefault="00E63C48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Zavisno</w:t>
      </w:r>
      <w:proofErr w:type="spellEnd"/>
      <w:r w:rsidRPr="00234804">
        <w:rPr>
          <w:sz w:val="24"/>
          <w:szCs w:val="24"/>
        </w:rPr>
        <w:t xml:space="preserve"> </w:t>
      </w:r>
      <w:proofErr w:type="gramStart"/>
      <w:r w:rsidRPr="00234804">
        <w:rPr>
          <w:sz w:val="24"/>
          <w:szCs w:val="24"/>
        </w:rPr>
        <w:t>od</w:t>
      </w:r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nivoa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kvalifikacije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obrazovanja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složenosti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odgovornosti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elemenata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bitnih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vrednovanje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određenog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pojedina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zvanja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>,</w:t>
      </w:r>
      <w:r w:rsidR="0048183A" w:rsidRPr="00234804">
        <w:rPr>
          <w:sz w:val="24"/>
          <w:szCs w:val="24"/>
        </w:rPr>
        <w:t xml:space="preserve"> u </w:t>
      </w:r>
      <w:proofErr w:type="spellStart"/>
      <w:r w:rsidR="0048183A" w:rsidRPr="00234804">
        <w:rPr>
          <w:sz w:val="24"/>
          <w:szCs w:val="24"/>
        </w:rPr>
        <w:t>organima</w:t>
      </w:r>
      <w:proofErr w:type="spellEnd"/>
      <w:r w:rsidR="0048183A" w:rsidRPr="00234804">
        <w:rPr>
          <w:sz w:val="24"/>
          <w:szCs w:val="24"/>
        </w:rPr>
        <w:t xml:space="preserve"> </w:t>
      </w:r>
      <w:proofErr w:type="spellStart"/>
      <w:r w:rsidR="0048183A" w:rsidRPr="00234804">
        <w:rPr>
          <w:sz w:val="24"/>
          <w:szCs w:val="24"/>
        </w:rPr>
        <w:t>lokalne</w:t>
      </w:r>
      <w:proofErr w:type="spellEnd"/>
      <w:r w:rsidR="0048183A" w:rsidRPr="00234804">
        <w:rPr>
          <w:sz w:val="24"/>
          <w:szCs w:val="24"/>
        </w:rPr>
        <w:t xml:space="preserve"> </w:t>
      </w:r>
      <w:proofErr w:type="spellStart"/>
      <w:r w:rsidR="0048183A" w:rsidRPr="00234804">
        <w:rPr>
          <w:sz w:val="24"/>
          <w:szCs w:val="24"/>
        </w:rPr>
        <w:t>samouprave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raspoređuju</w:t>
      </w:r>
      <w:proofErr w:type="spellEnd"/>
      <w:r w:rsidRPr="00234804">
        <w:rPr>
          <w:sz w:val="24"/>
          <w:szCs w:val="24"/>
        </w:rPr>
        <w:t xml:space="preserve"> se u </w:t>
      </w:r>
      <w:proofErr w:type="spellStart"/>
      <w:r w:rsidRPr="00234804">
        <w:rPr>
          <w:sz w:val="24"/>
          <w:szCs w:val="24"/>
        </w:rPr>
        <w:t>sledeće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grupe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izražavaju</w:t>
      </w:r>
      <w:proofErr w:type="spellEnd"/>
      <w:r w:rsidRPr="00234804">
        <w:rPr>
          <w:sz w:val="24"/>
          <w:szCs w:val="24"/>
        </w:rPr>
        <w:t xml:space="preserve"> se u </w:t>
      </w:r>
      <w:proofErr w:type="spellStart"/>
      <w:r w:rsidRPr="00234804">
        <w:rPr>
          <w:sz w:val="24"/>
          <w:szCs w:val="24"/>
        </w:rPr>
        <w:t>koeficijentima</w:t>
      </w:r>
      <w:proofErr w:type="spellEnd"/>
      <w:r w:rsidRPr="00234804">
        <w:rPr>
          <w:sz w:val="24"/>
          <w:szCs w:val="24"/>
        </w:rPr>
        <w:t xml:space="preserve"> i to: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138"/>
        <w:gridCol w:w="4320"/>
        <w:gridCol w:w="1890"/>
      </w:tblGrid>
      <w:tr w:rsidR="00C1616C" w:rsidRPr="00234804" w:rsidTr="0044276A">
        <w:trPr>
          <w:cantSplit/>
          <w:trHeight w:val="240"/>
        </w:trPr>
        <w:tc>
          <w:tcPr>
            <w:tcW w:w="2138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1616C" w:rsidRPr="00234804" w:rsidRDefault="00C1616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1616C" w:rsidRPr="00234804" w:rsidRDefault="00C1616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1616C" w:rsidRPr="00234804" w:rsidRDefault="00C1616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616C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1616C" w:rsidRPr="00234804" w:rsidRDefault="00C1616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Kategorizacija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radnih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mjesta</w:t>
            </w:r>
            <w:proofErr w:type="spellEnd"/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1616C" w:rsidRPr="00234804" w:rsidRDefault="00C1616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Zvanja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1616C" w:rsidRPr="00234804" w:rsidRDefault="00C1616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Koeficijent</w:t>
            </w:r>
            <w:proofErr w:type="spellEnd"/>
          </w:p>
        </w:tc>
      </w:tr>
      <w:tr w:rsidR="00CB012C" w:rsidRPr="00234804" w:rsidTr="00CB012C">
        <w:trPr>
          <w:cantSplit/>
          <w:trHeight w:val="240"/>
        </w:trPr>
        <w:tc>
          <w:tcPr>
            <w:tcW w:w="2138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Visoko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rukovodni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kadar</w:t>
            </w:r>
            <w:proofErr w:type="spellEnd"/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0F0096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Sekretar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Sekretarijata</w:t>
            </w:r>
            <w:proofErr w:type="spellEnd"/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13,83</w:t>
            </w: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Direktor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Direkcije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Direktor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Uprave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Glavni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gradski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arhitekta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Zaštitnik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imovinsko-pravnih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interesa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opštine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Načelnik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komunalne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policije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13,83</w:t>
            </w: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Menadžer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Opštine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21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single" w:sz="4" w:space="0" w:color="auto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Komandir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zaštite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spašavanja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single" w:sz="4" w:space="0" w:color="auto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9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12,97</w:t>
            </w: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5C6820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Rukovodilac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Načelnik</w:t>
            </w:r>
            <w:proofErr w:type="spellEnd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</w:t>
            </w:r>
            <w:proofErr w:type="spellEnd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za</w:t>
            </w:r>
            <w:proofErr w:type="spellEnd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unutrašnju</w:t>
            </w:r>
            <w:proofErr w:type="spellEnd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012C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reviziju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Pomoćnik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sekretara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sekretarijata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direktora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direkcije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direktora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uprave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11,89</w:t>
            </w:r>
          </w:p>
        </w:tc>
      </w:tr>
      <w:tr w:rsidR="00CB012C" w:rsidRPr="00234804" w:rsidTr="004514DF">
        <w:trPr>
          <w:cantSplit/>
          <w:trHeight w:val="240"/>
        </w:trPr>
        <w:tc>
          <w:tcPr>
            <w:tcW w:w="2138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Zamjenik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komandira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zaštite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spašavanja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CB012C" w:rsidRPr="00234804" w:rsidRDefault="00CB012C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Ekspertsko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rukovodni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kadar</w:t>
            </w:r>
            <w:proofErr w:type="spellEnd"/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32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Glavni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inspektor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Glavno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ovlašćeno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lice</w:t>
            </w:r>
          </w:p>
        </w:tc>
        <w:tc>
          <w:tcPr>
            <w:tcW w:w="1890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11,60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Načelnik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rukovodilac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drugo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odgovarajuće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zvanje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11,60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Šef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kabineta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predsjednika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12,97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Šef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inspektor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koordinator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10,70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Ekspertski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kadar</w:t>
            </w:r>
            <w:proofErr w:type="spellEnd"/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Samostalni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</w:t>
            </w:r>
            <w:r w:rsidR="0081586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t</w:t>
            </w: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Komunalni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inspektor</w:t>
            </w:r>
            <w:proofErr w:type="spellEnd"/>
          </w:p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Inspektor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I</w:t>
            </w:r>
          </w:p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Ovlašćeno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lice I</w:t>
            </w:r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unutrašnji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revizor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9,60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Samostalni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</w:t>
            </w:r>
            <w:r w:rsidR="0081586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t</w:t>
            </w: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 </w:t>
            </w:r>
          </w:p>
          <w:p w:rsidR="0081586D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Ovlašćeno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lice II   </w:t>
            </w:r>
          </w:p>
          <w:p w:rsidR="00357595" w:rsidRPr="00234804" w:rsidRDefault="00357595" w:rsidP="0081586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r w:rsidR="0081586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proofErr w:type="spellStart"/>
            <w:r w:rsidR="0081586D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Inspektor</w:t>
            </w:r>
            <w:proofErr w:type="spellEnd"/>
            <w:r w:rsidR="0081586D"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I</w:t>
            </w:r>
            <w:r w:rsidR="0081586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</w:t>
            </w: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                           </w:t>
            </w:r>
          </w:p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Stariji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unutrašnji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revizor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9,40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Samostalni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</w:t>
            </w:r>
            <w:r w:rsidR="0081586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t</w:t>
            </w: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</w:t>
            </w:r>
            <w:r w:rsid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</w:t>
            </w: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Inspektor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III</w:t>
            </w:r>
          </w:p>
          <w:p w:rsidR="00357595" w:rsidRPr="00234804" w:rsidRDefault="00357595" w:rsidP="00234804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Ovlašćeno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službeno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lice III,</w:t>
            </w:r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Mlađi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unutrašnji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revizor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9,20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8,70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8,30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8,10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7,70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</w:t>
            </w:r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Vatrogasac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spasilac</w:t>
            </w:r>
            <w:proofErr w:type="spellEnd"/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Komunalni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policajac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7,30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Savjetnik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Nivo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Saradnik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6,80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Saradnik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6,60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Saradnik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6,40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Izvršni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kadar</w:t>
            </w:r>
            <w:proofErr w:type="spellEnd"/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Samostalni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referent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6,20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referent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Referent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5,70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Namještenici</w:t>
            </w:r>
            <w:proofErr w:type="spellEnd"/>
          </w:p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namještenik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5,30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Viši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namještenik</w:t>
            </w:r>
            <w:proofErr w:type="spellEnd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II</w:t>
            </w:r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5,20</w:t>
            </w:r>
          </w:p>
        </w:tc>
      </w:tr>
      <w:tr w:rsidR="00357595" w:rsidRPr="00234804" w:rsidTr="0044276A">
        <w:trPr>
          <w:cantSplit/>
          <w:trHeight w:val="240"/>
        </w:trPr>
        <w:tc>
          <w:tcPr>
            <w:tcW w:w="21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Namještenik</w:t>
            </w:r>
            <w:proofErr w:type="spellEnd"/>
          </w:p>
        </w:tc>
        <w:tc>
          <w:tcPr>
            <w:tcW w:w="1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357595" w:rsidRPr="00234804" w:rsidRDefault="00357595" w:rsidP="002348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23480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5,10</w:t>
            </w:r>
          </w:p>
        </w:tc>
      </w:tr>
    </w:tbl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</w:p>
    <w:p w:rsidR="00B75686" w:rsidRPr="00234804" w:rsidRDefault="00B45A98" w:rsidP="00234804">
      <w:pPr>
        <w:pStyle w:val="T30X"/>
        <w:spacing w:after="0"/>
        <w:ind w:firstLine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Koeficijenti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utvrđivanje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zaposlenih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javnim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ustanovama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institucijama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čiji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osnivač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uprava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čija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zvanja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nijesu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utvrđena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stavom</w:t>
      </w:r>
      <w:proofErr w:type="spellEnd"/>
      <w:r w:rsidRPr="00234804">
        <w:rPr>
          <w:sz w:val="24"/>
          <w:szCs w:val="24"/>
        </w:rPr>
        <w:t xml:space="preserve"> 1 </w:t>
      </w:r>
      <w:proofErr w:type="spellStart"/>
      <w:r w:rsidRPr="00234804">
        <w:rPr>
          <w:sz w:val="24"/>
          <w:szCs w:val="24"/>
        </w:rPr>
        <w:t>ovog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člana</w:t>
      </w:r>
      <w:proofErr w:type="spellEnd"/>
      <w:r w:rsidRPr="00234804">
        <w:rPr>
          <w:sz w:val="24"/>
          <w:szCs w:val="24"/>
        </w:rPr>
        <w:t xml:space="preserve">, a </w:t>
      </w:r>
      <w:proofErr w:type="spellStart"/>
      <w:r w:rsidRPr="00234804">
        <w:rPr>
          <w:sz w:val="24"/>
          <w:szCs w:val="24"/>
        </w:rPr>
        <w:t>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neposredno</w:t>
      </w:r>
      <w:proofErr w:type="spellEnd"/>
      <w:r w:rsidRPr="00234804">
        <w:rPr>
          <w:sz w:val="24"/>
          <w:szCs w:val="24"/>
        </w:rPr>
        <w:t xml:space="preserve"> ne </w:t>
      </w:r>
      <w:proofErr w:type="spellStart"/>
      <w:r w:rsidRPr="00234804">
        <w:rPr>
          <w:sz w:val="24"/>
          <w:szCs w:val="24"/>
        </w:rPr>
        <w:t>primjenjuju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odredbe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drugog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granskog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kolektivnog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ugovora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utvrđuju</w:t>
      </w:r>
      <w:proofErr w:type="spellEnd"/>
      <w:r w:rsidRPr="00234804">
        <w:rPr>
          <w:sz w:val="24"/>
          <w:szCs w:val="24"/>
        </w:rPr>
        <w:t xml:space="preserve"> se u </w:t>
      </w:r>
      <w:proofErr w:type="spellStart"/>
      <w:r w:rsidRPr="00234804">
        <w:rPr>
          <w:sz w:val="24"/>
          <w:szCs w:val="24"/>
        </w:rPr>
        <w:t>zavisnosti</w:t>
      </w:r>
      <w:proofErr w:type="spellEnd"/>
      <w:r w:rsidRPr="00234804">
        <w:rPr>
          <w:sz w:val="24"/>
          <w:szCs w:val="24"/>
        </w:rPr>
        <w:t xml:space="preserve"> od </w:t>
      </w:r>
      <w:proofErr w:type="spellStart"/>
      <w:r w:rsidRPr="00234804">
        <w:rPr>
          <w:sz w:val="24"/>
          <w:szCs w:val="24"/>
        </w:rPr>
        <w:t>nivoa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kvalifikacije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obrazovanja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složenosti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odgovornosti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elemenata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bitnih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vrednovanje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određenog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posla</w:t>
      </w:r>
      <w:proofErr w:type="spellEnd"/>
      <w:r w:rsidRPr="00234804">
        <w:rPr>
          <w:sz w:val="24"/>
          <w:szCs w:val="24"/>
        </w:rPr>
        <w:t xml:space="preserve">, u </w:t>
      </w:r>
      <w:proofErr w:type="spellStart"/>
      <w:r w:rsidRPr="00234804">
        <w:rPr>
          <w:sz w:val="24"/>
          <w:szCs w:val="24"/>
        </w:rPr>
        <w:t>okviru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odgovarajućih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koeficijenata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stava</w:t>
      </w:r>
      <w:proofErr w:type="spellEnd"/>
      <w:r w:rsidRPr="00234804">
        <w:rPr>
          <w:sz w:val="24"/>
          <w:szCs w:val="24"/>
        </w:rPr>
        <w:t xml:space="preserve"> 1 </w:t>
      </w:r>
      <w:proofErr w:type="spellStart"/>
      <w:r w:rsidRPr="00234804">
        <w:rPr>
          <w:sz w:val="24"/>
          <w:szCs w:val="24"/>
        </w:rPr>
        <w:t>ovog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člana</w:t>
      </w:r>
      <w:proofErr w:type="spellEnd"/>
      <w:r w:rsidR="002F48EF" w:rsidRPr="00234804">
        <w:rPr>
          <w:sz w:val="24"/>
          <w:szCs w:val="24"/>
        </w:rPr>
        <w:t>.</w:t>
      </w:r>
    </w:p>
    <w:p w:rsidR="006330C5" w:rsidRPr="00234804" w:rsidRDefault="006330C5" w:rsidP="00234804">
      <w:pPr>
        <w:pStyle w:val="N01X"/>
        <w:spacing w:after="0"/>
      </w:pPr>
      <w:proofErr w:type="spellStart"/>
      <w:r w:rsidRPr="00234804">
        <w:t>Donošenje</w:t>
      </w:r>
      <w:proofErr w:type="spellEnd"/>
      <w:r w:rsidRPr="00234804">
        <w:t xml:space="preserve"> </w:t>
      </w:r>
      <w:proofErr w:type="spellStart"/>
      <w:r w:rsidRPr="00234804">
        <w:t>rješenja</w:t>
      </w:r>
      <w:proofErr w:type="spellEnd"/>
      <w:r w:rsidRPr="00234804">
        <w:t xml:space="preserve"> o </w:t>
      </w:r>
      <w:proofErr w:type="spellStart"/>
      <w:r w:rsidRPr="00234804">
        <w:t>zaradi</w:t>
      </w:r>
      <w:proofErr w:type="spellEnd"/>
    </w:p>
    <w:p w:rsidR="006330C5" w:rsidRPr="00234804" w:rsidRDefault="006330C5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="002F48EF" w:rsidRPr="00234804">
        <w:t xml:space="preserve"> 9</w:t>
      </w:r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Rješenje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zaradi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zaposlenog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donosi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starješina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organa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samouprave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organizacije</w:t>
      </w:r>
      <w:proofErr w:type="gramStart"/>
      <w:r w:rsidRPr="00234804">
        <w:rPr>
          <w:sz w:val="24"/>
          <w:szCs w:val="24"/>
        </w:rPr>
        <w:t>,centra,javne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ustanove,privrednog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društva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čiji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osnivač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samouprava</w:t>
      </w:r>
      <w:proofErr w:type="spellEnd"/>
      <w:r w:rsidR="00346B1B" w:rsidRPr="00234804">
        <w:rPr>
          <w:sz w:val="24"/>
          <w:szCs w:val="24"/>
        </w:rPr>
        <w:t>.</w:t>
      </w:r>
    </w:p>
    <w:p w:rsidR="006330C5" w:rsidRPr="00234804" w:rsidRDefault="006330C5" w:rsidP="00234804">
      <w:pPr>
        <w:pStyle w:val="N01X"/>
        <w:spacing w:after="0"/>
      </w:pPr>
      <w:proofErr w:type="spellStart"/>
      <w:r w:rsidRPr="00234804">
        <w:t>Donošenje</w:t>
      </w:r>
      <w:proofErr w:type="spellEnd"/>
      <w:r w:rsidRPr="00234804">
        <w:t xml:space="preserve"> </w:t>
      </w:r>
      <w:proofErr w:type="spellStart"/>
      <w:r w:rsidRPr="00234804">
        <w:t>rješenja</w:t>
      </w:r>
      <w:proofErr w:type="spellEnd"/>
      <w:r w:rsidRPr="00234804">
        <w:t xml:space="preserve"> o </w:t>
      </w:r>
      <w:proofErr w:type="spellStart"/>
      <w:r w:rsidRPr="00234804">
        <w:t>drugim</w:t>
      </w:r>
      <w:proofErr w:type="spellEnd"/>
      <w:r w:rsidRPr="00234804">
        <w:t xml:space="preserve"> </w:t>
      </w:r>
      <w:proofErr w:type="spellStart"/>
      <w:r w:rsidRPr="00234804">
        <w:t>primanjima</w:t>
      </w:r>
      <w:proofErr w:type="spellEnd"/>
    </w:p>
    <w:p w:rsidR="006330C5" w:rsidRPr="00234804" w:rsidRDefault="002F48EF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10</w:t>
      </w:r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  <w:proofErr w:type="spellStart"/>
      <w:proofErr w:type="gramStart"/>
      <w:r w:rsidRPr="00234804">
        <w:rPr>
          <w:sz w:val="24"/>
          <w:szCs w:val="24"/>
        </w:rPr>
        <w:t>Rješenje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naknadama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primanjima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zaposlenog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organu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organizacijama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centrima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javnim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privrednim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društvima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ustanovama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čiji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osnivač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samouprava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donosi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starješina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organa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uprave</w:t>
      </w:r>
      <w:proofErr w:type="spellEnd"/>
      <w:r w:rsidRPr="00234804">
        <w:rPr>
          <w:sz w:val="24"/>
          <w:szCs w:val="24"/>
        </w:rPr>
        <w:t>.</w:t>
      </w:r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Rješenje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naknadama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primanjima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lica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izabrana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imenovana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ili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postavljena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skladu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propisima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donosi</w:t>
      </w:r>
      <w:proofErr w:type="spellEnd"/>
      <w:r w:rsidRPr="00234804">
        <w:rPr>
          <w:sz w:val="24"/>
          <w:szCs w:val="24"/>
        </w:rPr>
        <w:t xml:space="preserve"> organ </w:t>
      </w:r>
      <w:proofErr w:type="spellStart"/>
      <w:r w:rsidRPr="00234804">
        <w:rPr>
          <w:sz w:val="24"/>
          <w:szCs w:val="24"/>
        </w:rPr>
        <w:t>odnosno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radno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ih</w:t>
      </w:r>
      <w:proofErr w:type="spellEnd"/>
      <w:r w:rsidRPr="00234804">
        <w:rPr>
          <w:sz w:val="24"/>
          <w:szCs w:val="24"/>
        </w:rPr>
        <w:t xml:space="preserve"> je </w:t>
      </w:r>
      <w:proofErr w:type="spellStart"/>
      <w:r w:rsidRPr="00234804">
        <w:rPr>
          <w:sz w:val="24"/>
          <w:szCs w:val="24"/>
        </w:rPr>
        <w:t>izabralo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imenovalo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ili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postavilo</w:t>
      </w:r>
      <w:proofErr w:type="spellEnd"/>
      <w:r w:rsidRPr="00234804">
        <w:rPr>
          <w:sz w:val="24"/>
          <w:szCs w:val="24"/>
        </w:rPr>
        <w:t>.</w:t>
      </w:r>
    </w:p>
    <w:p w:rsidR="006330C5" w:rsidRPr="00234804" w:rsidRDefault="002F48EF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11</w:t>
      </w:r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Zaposlenima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na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određenom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randnom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mjestu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kome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poslovi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obavljaju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zvanje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="00AD13D9" w:rsidRPr="00234804">
        <w:rPr>
          <w:sz w:val="24"/>
          <w:szCs w:val="24"/>
        </w:rPr>
        <w:t>ekspertsko-rukovodni</w:t>
      </w:r>
      <w:proofErr w:type="spellEnd"/>
      <w:r w:rsidR="00AD13D9"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ekspertski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kadar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izvršni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kadar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namještenici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može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utvrditi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dodatak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osnovnu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zaradu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procent</w:t>
      </w:r>
      <w:r w:rsidR="00346B1B" w:rsidRPr="00234804">
        <w:rPr>
          <w:sz w:val="24"/>
          <w:szCs w:val="24"/>
        </w:rPr>
        <w:t>u</w:t>
      </w:r>
      <w:proofErr w:type="spellEnd"/>
      <w:r w:rsidR="00346B1B" w:rsidRPr="00234804">
        <w:rPr>
          <w:sz w:val="24"/>
          <w:szCs w:val="24"/>
        </w:rPr>
        <w:t xml:space="preserve"> do 15</w:t>
      </w:r>
      <w:r w:rsidRPr="00234804">
        <w:rPr>
          <w:sz w:val="24"/>
          <w:szCs w:val="24"/>
        </w:rPr>
        <w:t>%.</w:t>
      </w:r>
    </w:p>
    <w:p w:rsidR="006330C5" w:rsidRPr="00234804" w:rsidRDefault="00346B1B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Izuzetno</w:t>
      </w:r>
      <w:proofErr w:type="gramStart"/>
      <w:r w:rsidRPr="00234804">
        <w:rPr>
          <w:sz w:val="24"/>
          <w:szCs w:val="24"/>
        </w:rPr>
        <w:t>,od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stava</w:t>
      </w:r>
      <w:proofErr w:type="spellEnd"/>
      <w:r w:rsidRPr="00234804">
        <w:rPr>
          <w:sz w:val="24"/>
          <w:szCs w:val="24"/>
        </w:rPr>
        <w:t xml:space="preserve"> 1 </w:t>
      </w:r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ovog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člana</w:t>
      </w:r>
      <w:proofErr w:type="spellEnd"/>
      <w:r w:rsidR="006330C5" w:rsidRPr="00234804">
        <w:rPr>
          <w:sz w:val="24"/>
          <w:szCs w:val="24"/>
        </w:rPr>
        <w:t xml:space="preserve">, </w:t>
      </w:r>
      <w:proofErr w:type="spellStart"/>
      <w:r w:rsidR="006330C5" w:rsidRPr="00234804">
        <w:rPr>
          <w:sz w:val="24"/>
          <w:szCs w:val="24"/>
        </w:rPr>
        <w:t>zaposlenima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na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određenom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randnom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mjestu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na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kome</w:t>
      </w:r>
      <w:proofErr w:type="spellEnd"/>
      <w:r w:rsidR="006330C5" w:rsidRPr="00234804">
        <w:rPr>
          <w:sz w:val="24"/>
          <w:szCs w:val="24"/>
        </w:rPr>
        <w:t xml:space="preserve"> se </w:t>
      </w:r>
      <w:proofErr w:type="spellStart"/>
      <w:r w:rsidR="006330C5" w:rsidRPr="00234804">
        <w:rPr>
          <w:sz w:val="24"/>
          <w:szCs w:val="24"/>
        </w:rPr>
        <w:t>poslovi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obavljaju</w:t>
      </w:r>
      <w:proofErr w:type="spellEnd"/>
      <w:r w:rsidR="006330C5" w:rsidRPr="00234804">
        <w:rPr>
          <w:sz w:val="24"/>
          <w:szCs w:val="24"/>
        </w:rPr>
        <w:t xml:space="preserve"> u </w:t>
      </w:r>
      <w:proofErr w:type="spellStart"/>
      <w:r w:rsidR="006330C5" w:rsidRPr="00234804">
        <w:rPr>
          <w:sz w:val="24"/>
          <w:szCs w:val="24"/>
        </w:rPr>
        <w:t>zvanju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vatrogascima-spasiocima</w:t>
      </w:r>
      <w:proofErr w:type="spellEnd"/>
      <w:r w:rsidR="006330C5" w:rsidRPr="00234804">
        <w:rPr>
          <w:sz w:val="24"/>
          <w:szCs w:val="24"/>
        </w:rPr>
        <w:t xml:space="preserve">, </w:t>
      </w:r>
      <w:proofErr w:type="spellStart"/>
      <w:r w:rsidR="006330C5" w:rsidRPr="00234804">
        <w:rPr>
          <w:sz w:val="24"/>
          <w:szCs w:val="24"/>
        </w:rPr>
        <w:t>može</w:t>
      </w:r>
      <w:proofErr w:type="spellEnd"/>
      <w:r w:rsidR="006330C5" w:rsidRPr="00234804">
        <w:rPr>
          <w:sz w:val="24"/>
          <w:szCs w:val="24"/>
        </w:rPr>
        <w:t xml:space="preserve"> se </w:t>
      </w:r>
      <w:proofErr w:type="spellStart"/>
      <w:r w:rsidR="006330C5" w:rsidRPr="00234804">
        <w:rPr>
          <w:sz w:val="24"/>
          <w:szCs w:val="24"/>
        </w:rPr>
        <w:t>utvrditi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dodatak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na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osno</w:t>
      </w:r>
      <w:r w:rsidR="00E77205" w:rsidRPr="00234804">
        <w:rPr>
          <w:sz w:val="24"/>
          <w:szCs w:val="24"/>
        </w:rPr>
        <w:t>vnu</w:t>
      </w:r>
      <w:proofErr w:type="spellEnd"/>
      <w:r w:rsidR="00E77205" w:rsidRPr="00234804">
        <w:rPr>
          <w:sz w:val="24"/>
          <w:szCs w:val="24"/>
        </w:rPr>
        <w:t xml:space="preserve"> </w:t>
      </w:r>
      <w:proofErr w:type="spellStart"/>
      <w:r w:rsidR="00E77205" w:rsidRPr="00234804">
        <w:rPr>
          <w:sz w:val="24"/>
          <w:szCs w:val="24"/>
        </w:rPr>
        <w:t>zaradu</w:t>
      </w:r>
      <w:proofErr w:type="spellEnd"/>
      <w:r w:rsidR="00E77205" w:rsidRPr="00234804">
        <w:rPr>
          <w:sz w:val="24"/>
          <w:szCs w:val="24"/>
        </w:rPr>
        <w:t xml:space="preserve"> u </w:t>
      </w:r>
      <w:proofErr w:type="spellStart"/>
      <w:r w:rsidR="00E77205" w:rsidRPr="00234804">
        <w:rPr>
          <w:sz w:val="24"/>
          <w:szCs w:val="24"/>
        </w:rPr>
        <w:t>procentu</w:t>
      </w:r>
      <w:proofErr w:type="spellEnd"/>
      <w:r w:rsidR="00E77205" w:rsidRPr="00234804">
        <w:rPr>
          <w:sz w:val="24"/>
          <w:szCs w:val="24"/>
        </w:rPr>
        <w:t xml:space="preserve"> do 30%, u </w:t>
      </w:r>
      <w:proofErr w:type="spellStart"/>
      <w:r w:rsidR="00E77205" w:rsidRPr="00234804">
        <w:rPr>
          <w:sz w:val="24"/>
          <w:szCs w:val="24"/>
        </w:rPr>
        <w:t>skladu</w:t>
      </w:r>
      <w:proofErr w:type="spellEnd"/>
      <w:r w:rsidR="00E77205" w:rsidRPr="00234804">
        <w:rPr>
          <w:sz w:val="24"/>
          <w:szCs w:val="24"/>
        </w:rPr>
        <w:t xml:space="preserve"> </w:t>
      </w:r>
      <w:proofErr w:type="spellStart"/>
      <w:r w:rsidR="00E77205" w:rsidRPr="00234804">
        <w:rPr>
          <w:sz w:val="24"/>
          <w:szCs w:val="24"/>
        </w:rPr>
        <w:t>sa</w:t>
      </w:r>
      <w:proofErr w:type="spellEnd"/>
      <w:r w:rsidR="00E77205" w:rsidRPr="00234804">
        <w:rPr>
          <w:sz w:val="24"/>
          <w:szCs w:val="24"/>
        </w:rPr>
        <w:t xml:space="preserve"> </w:t>
      </w:r>
      <w:proofErr w:type="spellStart"/>
      <w:r w:rsidR="00E77205" w:rsidRPr="00234804">
        <w:rPr>
          <w:sz w:val="24"/>
          <w:szCs w:val="24"/>
        </w:rPr>
        <w:t>posebnim</w:t>
      </w:r>
      <w:proofErr w:type="spellEnd"/>
      <w:r w:rsidR="00E77205" w:rsidRPr="00234804">
        <w:rPr>
          <w:sz w:val="24"/>
          <w:szCs w:val="24"/>
        </w:rPr>
        <w:t xml:space="preserve"> </w:t>
      </w:r>
      <w:proofErr w:type="spellStart"/>
      <w:r w:rsidR="00E77205" w:rsidRPr="00234804">
        <w:rPr>
          <w:sz w:val="24"/>
          <w:szCs w:val="24"/>
        </w:rPr>
        <w:t>zakon</w:t>
      </w:r>
      <w:r w:rsidR="00F15970" w:rsidRPr="00234804">
        <w:rPr>
          <w:sz w:val="24"/>
          <w:szCs w:val="24"/>
        </w:rPr>
        <w:t>om</w:t>
      </w:r>
      <w:proofErr w:type="spellEnd"/>
      <w:r w:rsidR="00F15970" w:rsidRPr="00234804">
        <w:rPr>
          <w:sz w:val="24"/>
          <w:szCs w:val="24"/>
        </w:rPr>
        <w:t>.</w:t>
      </w:r>
    </w:p>
    <w:p w:rsidR="006330C5" w:rsidRPr="00234804" w:rsidRDefault="00346B1B" w:rsidP="0023480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Dodatak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stava</w:t>
      </w:r>
      <w:proofErr w:type="spellEnd"/>
      <w:r w:rsidRPr="00234804">
        <w:rPr>
          <w:sz w:val="24"/>
          <w:szCs w:val="24"/>
        </w:rPr>
        <w:t xml:space="preserve"> 1, </w:t>
      </w:r>
      <w:proofErr w:type="gramStart"/>
      <w:r w:rsidRPr="00234804">
        <w:rPr>
          <w:sz w:val="24"/>
          <w:szCs w:val="24"/>
        </w:rPr>
        <w:t xml:space="preserve">2 </w:t>
      </w:r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ovog</w:t>
      </w:r>
      <w:proofErr w:type="spellEnd"/>
      <w:proofErr w:type="gram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člana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utvrđuje</w:t>
      </w:r>
      <w:proofErr w:type="spellEnd"/>
      <w:r w:rsidR="006330C5" w:rsidRPr="00234804">
        <w:rPr>
          <w:sz w:val="24"/>
          <w:szCs w:val="24"/>
        </w:rPr>
        <w:t xml:space="preserve"> se </w:t>
      </w:r>
      <w:proofErr w:type="spellStart"/>
      <w:r w:rsidR="006330C5" w:rsidRPr="00234804">
        <w:rPr>
          <w:sz w:val="24"/>
          <w:szCs w:val="24"/>
        </w:rPr>
        <w:t>rješenjem</w:t>
      </w:r>
      <w:proofErr w:type="spellEnd"/>
      <w:r w:rsidR="006330C5" w:rsidRPr="00234804">
        <w:rPr>
          <w:sz w:val="24"/>
          <w:szCs w:val="24"/>
        </w:rPr>
        <w:t xml:space="preserve"> o </w:t>
      </w:r>
      <w:proofErr w:type="spellStart"/>
      <w:r w:rsidR="006330C5" w:rsidRPr="00234804">
        <w:rPr>
          <w:sz w:val="24"/>
          <w:szCs w:val="24"/>
        </w:rPr>
        <w:t>zaradi</w:t>
      </w:r>
      <w:proofErr w:type="spellEnd"/>
      <w:r w:rsidR="006330C5" w:rsidRPr="00234804">
        <w:rPr>
          <w:sz w:val="24"/>
          <w:szCs w:val="24"/>
        </w:rPr>
        <w:t xml:space="preserve"> i </w:t>
      </w:r>
      <w:proofErr w:type="spellStart"/>
      <w:r w:rsidR="006330C5" w:rsidRPr="00234804">
        <w:rPr>
          <w:sz w:val="24"/>
          <w:szCs w:val="24"/>
        </w:rPr>
        <w:t>obračunavati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će</w:t>
      </w:r>
      <w:proofErr w:type="spellEnd"/>
      <w:r w:rsidR="006330C5" w:rsidRPr="00234804">
        <w:rPr>
          <w:sz w:val="24"/>
          <w:szCs w:val="24"/>
        </w:rPr>
        <w:t xml:space="preserve"> se i </w:t>
      </w:r>
      <w:proofErr w:type="spellStart"/>
      <w:r w:rsidR="006330C5" w:rsidRPr="00234804">
        <w:rPr>
          <w:sz w:val="24"/>
          <w:szCs w:val="24"/>
        </w:rPr>
        <w:t>isplaćivati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uz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osnovnu</w:t>
      </w:r>
      <w:proofErr w:type="spellEnd"/>
      <w:r w:rsidR="006330C5" w:rsidRPr="00234804">
        <w:rPr>
          <w:sz w:val="24"/>
          <w:szCs w:val="24"/>
        </w:rPr>
        <w:t xml:space="preserve"> </w:t>
      </w:r>
      <w:proofErr w:type="spellStart"/>
      <w:r w:rsidR="006330C5" w:rsidRPr="00234804">
        <w:rPr>
          <w:sz w:val="24"/>
          <w:szCs w:val="24"/>
        </w:rPr>
        <w:t>zaradu</w:t>
      </w:r>
      <w:proofErr w:type="spellEnd"/>
      <w:r w:rsidR="006330C5" w:rsidRPr="00234804">
        <w:rPr>
          <w:sz w:val="24"/>
          <w:szCs w:val="24"/>
        </w:rPr>
        <w:t xml:space="preserve">, </w:t>
      </w:r>
      <w:proofErr w:type="spellStart"/>
      <w:r w:rsidR="006330C5" w:rsidRPr="00234804">
        <w:rPr>
          <w:sz w:val="24"/>
          <w:szCs w:val="24"/>
        </w:rPr>
        <w:t>zavisno</w:t>
      </w:r>
      <w:proofErr w:type="spellEnd"/>
      <w:r w:rsidR="006330C5" w:rsidRPr="00234804">
        <w:rPr>
          <w:sz w:val="24"/>
          <w:szCs w:val="24"/>
        </w:rPr>
        <w:t xml:space="preserve"> od </w:t>
      </w:r>
      <w:proofErr w:type="spellStart"/>
      <w:r w:rsidR="006330C5" w:rsidRPr="00234804">
        <w:rPr>
          <w:sz w:val="24"/>
          <w:szCs w:val="24"/>
        </w:rPr>
        <w:t>ra</w:t>
      </w:r>
      <w:r w:rsidRPr="00234804">
        <w:rPr>
          <w:sz w:val="24"/>
          <w:szCs w:val="24"/>
        </w:rPr>
        <w:t>spoloživih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budžetskih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sredstava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uz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prethodno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</w:t>
      </w:r>
      <w:r w:rsidR="001522E6" w:rsidRPr="00234804">
        <w:rPr>
          <w:sz w:val="24"/>
          <w:szCs w:val="24"/>
        </w:rPr>
        <w:t>ibavljenu</w:t>
      </w:r>
      <w:proofErr w:type="spellEnd"/>
      <w:r w:rsidR="001522E6" w:rsidRPr="00234804">
        <w:rPr>
          <w:sz w:val="24"/>
          <w:szCs w:val="24"/>
        </w:rPr>
        <w:t xml:space="preserve"> </w:t>
      </w:r>
      <w:proofErr w:type="spellStart"/>
      <w:r w:rsidR="001522E6" w:rsidRPr="00234804">
        <w:rPr>
          <w:sz w:val="24"/>
          <w:szCs w:val="24"/>
        </w:rPr>
        <w:t>saglasnost</w:t>
      </w:r>
      <w:proofErr w:type="spellEnd"/>
      <w:r w:rsidR="001522E6" w:rsidRPr="00234804">
        <w:rPr>
          <w:sz w:val="24"/>
          <w:szCs w:val="24"/>
        </w:rPr>
        <w:t xml:space="preserve"> </w:t>
      </w:r>
      <w:proofErr w:type="spellStart"/>
      <w:r w:rsidR="001522E6" w:rsidRPr="00234804">
        <w:rPr>
          <w:sz w:val="24"/>
          <w:szCs w:val="24"/>
        </w:rPr>
        <w:t>organa</w:t>
      </w:r>
      <w:proofErr w:type="spellEnd"/>
      <w:r w:rsidR="001522E6" w:rsidRPr="00234804">
        <w:rPr>
          <w:sz w:val="24"/>
          <w:szCs w:val="24"/>
        </w:rPr>
        <w:t xml:space="preserve"> </w:t>
      </w:r>
      <w:proofErr w:type="spellStart"/>
      <w:r w:rsidR="001522E6" w:rsidRPr="00234804">
        <w:rPr>
          <w:sz w:val="24"/>
          <w:szCs w:val="24"/>
        </w:rPr>
        <w:t>lok</w:t>
      </w:r>
      <w:r w:rsidRPr="00234804">
        <w:rPr>
          <w:sz w:val="24"/>
          <w:szCs w:val="24"/>
        </w:rPr>
        <w:t>a</w:t>
      </w:r>
      <w:r w:rsidR="001522E6" w:rsidRPr="00234804">
        <w:rPr>
          <w:sz w:val="24"/>
          <w:szCs w:val="24"/>
        </w:rPr>
        <w:t>l</w:t>
      </w:r>
      <w:r w:rsidRPr="00234804">
        <w:rPr>
          <w:sz w:val="24"/>
          <w:szCs w:val="24"/>
        </w:rPr>
        <w:t>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uprave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nadležnog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finansija</w:t>
      </w:r>
      <w:proofErr w:type="spellEnd"/>
      <w:r w:rsidRPr="00234804">
        <w:rPr>
          <w:sz w:val="24"/>
          <w:szCs w:val="24"/>
        </w:rPr>
        <w:t>.</w:t>
      </w:r>
    </w:p>
    <w:p w:rsidR="001522E6" w:rsidRPr="00234804" w:rsidRDefault="006330C5" w:rsidP="00234804">
      <w:pPr>
        <w:pStyle w:val="T30X"/>
        <w:spacing w:after="0"/>
        <w:rPr>
          <w:sz w:val="24"/>
          <w:szCs w:val="24"/>
        </w:rPr>
      </w:pPr>
      <w:proofErr w:type="gramStart"/>
      <w:r w:rsidRPr="00234804">
        <w:rPr>
          <w:sz w:val="24"/>
          <w:szCs w:val="24"/>
        </w:rPr>
        <w:t xml:space="preserve">U </w:t>
      </w:r>
      <w:proofErr w:type="spellStart"/>
      <w:r w:rsidRPr="00234804">
        <w:rPr>
          <w:sz w:val="24"/>
          <w:szCs w:val="24"/>
        </w:rPr>
        <w:t>pogledu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prava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odnosno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nisu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utvrđena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ovom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odlukom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primjenjuju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odredbe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Zakona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zaradama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zaposlenih</w:t>
      </w:r>
      <w:proofErr w:type="spellEnd"/>
      <w:r w:rsidRPr="00234804">
        <w:rPr>
          <w:sz w:val="24"/>
          <w:szCs w:val="24"/>
        </w:rPr>
        <w:t xml:space="preserve"> u </w:t>
      </w:r>
      <w:proofErr w:type="spellStart"/>
      <w:r w:rsidRPr="00234804">
        <w:rPr>
          <w:sz w:val="24"/>
          <w:szCs w:val="24"/>
        </w:rPr>
        <w:t>javnom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sektoru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opšti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propisi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radu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opšti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granski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kolektivni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ugovor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kao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propisi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oblasti</w:t>
      </w:r>
      <w:proofErr w:type="spellEnd"/>
      <w:r w:rsidRPr="00234804">
        <w:rPr>
          <w:sz w:val="24"/>
          <w:szCs w:val="24"/>
        </w:rPr>
        <w:t>.</w:t>
      </w:r>
      <w:proofErr w:type="gramEnd"/>
    </w:p>
    <w:p w:rsidR="00234804" w:rsidRDefault="00234804" w:rsidP="00234804">
      <w:pPr>
        <w:pStyle w:val="N01X"/>
        <w:spacing w:after="0"/>
      </w:pPr>
    </w:p>
    <w:p w:rsidR="00234804" w:rsidRDefault="00234804" w:rsidP="00234804">
      <w:pPr>
        <w:pStyle w:val="N01X"/>
        <w:spacing w:after="0"/>
      </w:pPr>
    </w:p>
    <w:p w:rsidR="00234804" w:rsidRDefault="00234804" w:rsidP="00234804">
      <w:pPr>
        <w:pStyle w:val="N01X"/>
        <w:spacing w:after="0"/>
      </w:pPr>
    </w:p>
    <w:p w:rsidR="006330C5" w:rsidRPr="00234804" w:rsidRDefault="006330C5" w:rsidP="00234804">
      <w:pPr>
        <w:pStyle w:val="N01X"/>
        <w:spacing w:after="0"/>
      </w:pPr>
      <w:r w:rsidRPr="00234804">
        <w:lastRenderedPageBreak/>
        <w:t>III EVIDENCIJA I NADZOR</w:t>
      </w:r>
    </w:p>
    <w:p w:rsidR="006330C5" w:rsidRPr="00234804" w:rsidRDefault="002F48EF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12</w:t>
      </w:r>
    </w:p>
    <w:p w:rsidR="006330C5" w:rsidRPr="00234804" w:rsidRDefault="006330C5" w:rsidP="00234804">
      <w:pPr>
        <w:pStyle w:val="T30X"/>
        <w:spacing w:after="0"/>
        <w:ind w:firstLine="0"/>
        <w:rPr>
          <w:sz w:val="24"/>
          <w:szCs w:val="24"/>
        </w:rPr>
      </w:pPr>
      <w:proofErr w:type="gramStart"/>
      <w:r w:rsidRPr="00234804">
        <w:rPr>
          <w:sz w:val="24"/>
          <w:szCs w:val="24"/>
        </w:rPr>
        <w:t xml:space="preserve">Organ </w:t>
      </w:r>
      <w:proofErr w:type="spellStart"/>
      <w:r w:rsidRPr="00234804">
        <w:rPr>
          <w:sz w:val="24"/>
          <w:szCs w:val="24"/>
        </w:rPr>
        <w:t>lokalne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uprave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nadležan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poslove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Budžeta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vodi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centralnu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evidenciju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zaradama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lokalnih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>.</w:t>
      </w:r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Centralna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evidencija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stava</w:t>
      </w:r>
      <w:proofErr w:type="spellEnd"/>
      <w:r w:rsidRPr="00234804">
        <w:rPr>
          <w:sz w:val="24"/>
          <w:szCs w:val="24"/>
        </w:rPr>
        <w:t xml:space="preserve"> 1 </w:t>
      </w:r>
      <w:proofErr w:type="spellStart"/>
      <w:r w:rsidRPr="00234804">
        <w:rPr>
          <w:sz w:val="24"/>
          <w:szCs w:val="24"/>
        </w:rPr>
        <w:t>ovoga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člana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obuhvata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naročito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podatke</w:t>
      </w:r>
      <w:proofErr w:type="spellEnd"/>
      <w:r w:rsidRPr="00234804">
        <w:rPr>
          <w:sz w:val="24"/>
          <w:szCs w:val="24"/>
        </w:rPr>
        <w:t xml:space="preserve"> o: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1. </w:t>
      </w:r>
      <w:proofErr w:type="spellStart"/>
      <w:proofErr w:type="gramStart"/>
      <w:r w:rsidRPr="00234804">
        <w:rPr>
          <w:sz w:val="24"/>
          <w:szCs w:val="24"/>
        </w:rPr>
        <w:t>ime</w:t>
      </w:r>
      <w:proofErr w:type="spellEnd"/>
      <w:proofErr w:type="gram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prezime</w:t>
      </w:r>
      <w:proofErr w:type="spellEnd"/>
      <w:r w:rsidRPr="00234804">
        <w:rPr>
          <w:sz w:val="24"/>
          <w:szCs w:val="24"/>
        </w:rPr>
        <w:t xml:space="preserve">, pol, </w:t>
      </w:r>
      <w:proofErr w:type="spellStart"/>
      <w:r w:rsidRPr="00234804">
        <w:rPr>
          <w:sz w:val="24"/>
          <w:szCs w:val="24"/>
        </w:rPr>
        <w:t>adresu</w:t>
      </w:r>
      <w:proofErr w:type="spellEnd"/>
      <w:r w:rsidRPr="00234804">
        <w:rPr>
          <w:sz w:val="24"/>
          <w:szCs w:val="24"/>
        </w:rPr>
        <w:t xml:space="preserve"> i JMBG </w:t>
      </w:r>
      <w:proofErr w:type="spellStart"/>
      <w:r w:rsidRPr="00234804">
        <w:rPr>
          <w:sz w:val="24"/>
          <w:szCs w:val="24"/>
        </w:rPr>
        <w:t>lokalnog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službenika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odnosno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namještenika</w:t>
      </w:r>
      <w:proofErr w:type="spellEnd"/>
      <w:r w:rsidRPr="00234804">
        <w:rPr>
          <w:sz w:val="24"/>
          <w:szCs w:val="24"/>
        </w:rPr>
        <w:t>;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2. </w:t>
      </w:r>
      <w:proofErr w:type="spellStart"/>
      <w:proofErr w:type="gramStart"/>
      <w:r w:rsidRPr="00234804">
        <w:rPr>
          <w:sz w:val="24"/>
          <w:szCs w:val="24"/>
        </w:rPr>
        <w:t>poslodavcu</w:t>
      </w:r>
      <w:proofErr w:type="spellEnd"/>
      <w:proofErr w:type="gram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radnom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mjestu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odnosno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funkciji</w:t>
      </w:r>
      <w:proofErr w:type="spellEnd"/>
      <w:r w:rsidRPr="00234804">
        <w:rPr>
          <w:sz w:val="24"/>
          <w:szCs w:val="24"/>
        </w:rPr>
        <w:t>;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3. </w:t>
      </w:r>
      <w:proofErr w:type="spellStart"/>
      <w:proofErr w:type="gramStart"/>
      <w:r w:rsidRPr="00234804">
        <w:rPr>
          <w:sz w:val="24"/>
          <w:szCs w:val="24"/>
        </w:rPr>
        <w:t>visini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osnovne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visini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posebnog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dijela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>;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4. </w:t>
      </w:r>
      <w:proofErr w:type="spellStart"/>
      <w:proofErr w:type="gramStart"/>
      <w:r w:rsidRPr="00234804">
        <w:rPr>
          <w:sz w:val="24"/>
          <w:szCs w:val="24"/>
        </w:rPr>
        <w:t>vrsti</w:t>
      </w:r>
      <w:proofErr w:type="spellEnd"/>
      <w:proofErr w:type="gram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visini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dodataka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osnovnu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zaradu</w:t>
      </w:r>
      <w:proofErr w:type="spellEnd"/>
      <w:r w:rsidRPr="00234804">
        <w:rPr>
          <w:sz w:val="24"/>
          <w:szCs w:val="24"/>
        </w:rPr>
        <w:t>;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5. </w:t>
      </w:r>
      <w:proofErr w:type="spellStart"/>
      <w:proofErr w:type="gramStart"/>
      <w:r w:rsidRPr="00234804">
        <w:rPr>
          <w:sz w:val="24"/>
          <w:szCs w:val="24"/>
        </w:rPr>
        <w:t>visini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varijabilnog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dijela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>;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6. </w:t>
      </w:r>
      <w:proofErr w:type="spellStart"/>
      <w:proofErr w:type="gramStart"/>
      <w:r w:rsidRPr="00234804">
        <w:rPr>
          <w:sz w:val="24"/>
          <w:szCs w:val="24"/>
        </w:rPr>
        <w:t>visini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naknade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zarade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drugim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primanjima</w:t>
      </w:r>
      <w:proofErr w:type="spellEnd"/>
      <w:r w:rsidRPr="00234804">
        <w:rPr>
          <w:sz w:val="24"/>
          <w:szCs w:val="24"/>
        </w:rPr>
        <w:t>;</w:t>
      </w:r>
    </w:p>
    <w:p w:rsidR="006330C5" w:rsidRPr="00234804" w:rsidRDefault="006330C5" w:rsidP="00234804">
      <w:pPr>
        <w:pStyle w:val="T30X"/>
        <w:spacing w:after="0"/>
        <w:ind w:left="567" w:hanging="283"/>
        <w:rPr>
          <w:sz w:val="24"/>
          <w:szCs w:val="24"/>
        </w:rPr>
      </w:pPr>
      <w:r w:rsidRPr="00234804">
        <w:rPr>
          <w:sz w:val="24"/>
          <w:szCs w:val="24"/>
        </w:rPr>
        <w:t xml:space="preserve">   7. </w:t>
      </w:r>
      <w:proofErr w:type="spellStart"/>
      <w:proofErr w:type="gramStart"/>
      <w:r w:rsidRPr="00234804">
        <w:rPr>
          <w:sz w:val="24"/>
          <w:szCs w:val="24"/>
        </w:rPr>
        <w:t>radnom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stažu</w:t>
      </w:r>
      <w:proofErr w:type="spellEnd"/>
      <w:r w:rsidRPr="00234804">
        <w:rPr>
          <w:sz w:val="24"/>
          <w:szCs w:val="24"/>
        </w:rPr>
        <w:t xml:space="preserve">, </w:t>
      </w:r>
      <w:proofErr w:type="spellStart"/>
      <w:r w:rsidRPr="00234804">
        <w:rPr>
          <w:sz w:val="24"/>
          <w:szCs w:val="24"/>
        </w:rPr>
        <w:t>penzijskom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stažu</w:t>
      </w:r>
      <w:proofErr w:type="spellEnd"/>
      <w:r w:rsidRPr="00234804">
        <w:rPr>
          <w:sz w:val="24"/>
          <w:szCs w:val="24"/>
        </w:rPr>
        <w:t xml:space="preserve"> i </w:t>
      </w:r>
      <w:proofErr w:type="spellStart"/>
      <w:r w:rsidRPr="00234804">
        <w:rPr>
          <w:sz w:val="24"/>
          <w:szCs w:val="24"/>
        </w:rPr>
        <w:t>benificiranom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stažu</w:t>
      </w:r>
      <w:proofErr w:type="spellEnd"/>
      <w:r w:rsidRPr="00234804">
        <w:rPr>
          <w:sz w:val="24"/>
          <w:szCs w:val="24"/>
        </w:rPr>
        <w:t>.</w:t>
      </w:r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  <w:proofErr w:type="spellStart"/>
      <w:proofErr w:type="gramStart"/>
      <w:r w:rsidRPr="00234804">
        <w:rPr>
          <w:sz w:val="24"/>
          <w:szCs w:val="24"/>
        </w:rPr>
        <w:t>Podaci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centralne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evidencije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zaradama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čuvaju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trajno</w:t>
      </w:r>
      <w:proofErr w:type="spellEnd"/>
      <w:r w:rsidRPr="00234804">
        <w:rPr>
          <w:sz w:val="24"/>
          <w:szCs w:val="24"/>
        </w:rPr>
        <w:t>.</w:t>
      </w:r>
      <w:proofErr w:type="gramEnd"/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  <w:proofErr w:type="gramStart"/>
      <w:r w:rsidRPr="00234804">
        <w:rPr>
          <w:sz w:val="24"/>
          <w:szCs w:val="24"/>
        </w:rPr>
        <w:t xml:space="preserve">Na </w:t>
      </w:r>
      <w:proofErr w:type="spellStart"/>
      <w:r w:rsidRPr="00234804">
        <w:rPr>
          <w:sz w:val="24"/>
          <w:szCs w:val="24"/>
        </w:rPr>
        <w:t>lične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podatke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iz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centralne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evidencije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primenjivaće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odredbe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kojima</w:t>
      </w:r>
      <w:proofErr w:type="spellEnd"/>
      <w:r w:rsidRPr="00234804">
        <w:rPr>
          <w:sz w:val="24"/>
          <w:szCs w:val="24"/>
        </w:rPr>
        <w:t xml:space="preserve"> se </w:t>
      </w:r>
      <w:proofErr w:type="spellStart"/>
      <w:r w:rsidRPr="00234804">
        <w:rPr>
          <w:sz w:val="24"/>
          <w:szCs w:val="24"/>
        </w:rPr>
        <w:t>propisuje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zaštita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podataka</w:t>
      </w:r>
      <w:proofErr w:type="spellEnd"/>
      <w:r w:rsidRPr="00234804">
        <w:rPr>
          <w:sz w:val="24"/>
          <w:szCs w:val="24"/>
        </w:rPr>
        <w:t xml:space="preserve"> o </w:t>
      </w:r>
      <w:proofErr w:type="spellStart"/>
      <w:r w:rsidRPr="00234804">
        <w:rPr>
          <w:sz w:val="24"/>
          <w:szCs w:val="24"/>
        </w:rPr>
        <w:t>ličnosti</w:t>
      </w:r>
      <w:proofErr w:type="spellEnd"/>
      <w:r w:rsidRPr="00234804">
        <w:rPr>
          <w:sz w:val="24"/>
          <w:szCs w:val="24"/>
        </w:rPr>
        <w:t>.</w:t>
      </w:r>
      <w:proofErr w:type="gramEnd"/>
    </w:p>
    <w:p w:rsidR="006330C5" w:rsidRPr="00234804" w:rsidRDefault="00A41E84" w:rsidP="00234804">
      <w:pPr>
        <w:pStyle w:val="N01X"/>
        <w:spacing w:after="0"/>
      </w:pPr>
      <w:proofErr w:type="spellStart"/>
      <w:r>
        <w:t>Nadzor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sprovođenjem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O</w:t>
      </w:r>
      <w:r w:rsidR="006330C5" w:rsidRPr="00234804">
        <w:t>dluke</w:t>
      </w:r>
      <w:proofErr w:type="spellEnd"/>
    </w:p>
    <w:p w:rsidR="006330C5" w:rsidRPr="00234804" w:rsidRDefault="002F48EF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13</w:t>
      </w:r>
    </w:p>
    <w:p w:rsidR="00BA2903" w:rsidRPr="00234804" w:rsidRDefault="006330C5" w:rsidP="00A41E84">
      <w:pPr>
        <w:pStyle w:val="T30X"/>
        <w:spacing w:after="0"/>
        <w:rPr>
          <w:sz w:val="24"/>
          <w:szCs w:val="24"/>
        </w:rPr>
      </w:pPr>
      <w:proofErr w:type="spellStart"/>
      <w:r w:rsidRPr="00234804">
        <w:rPr>
          <w:sz w:val="24"/>
          <w:szCs w:val="24"/>
        </w:rPr>
        <w:t>Nadzor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nad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sprovođenjem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ove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odluke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vrši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Ministarstvo</w:t>
      </w:r>
      <w:proofErr w:type="spellEnd"/>
      <w:r w:rsidRPr="00234804">
        <w:rPr>
          <w:sz w:val="24"/>
          <w:szCs w:val="24"/>
        </w:rPr>
        <w:t>.</w:t>
      </w:r>
    </w:p>
    <w:p w:rsidR="006330C5" w:rsidRPr="00234804" w:rsidRDefault="006330C5" w:rsidP="00234804">
      <w:pPr>
        <w:pStyle w:val="N01X"/>
        <w:spacing w:after="0"/>
      </w:pPr>
      <w:r w:rsidRPr="00234804">
        <w:t>IV ZAVRŠNE ODREDBE</w:t>
      </w:r>
    </w:p>
    <w:p w:rsidR="006330C5" w:rsidRPr="00234804" w:rsidRDefault="002F48EF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14</w:t>
      </w:r>
    </w:p>
    <w:p w:rsidR="005658BA" w:rsidRPr="00234804" w:rsidRDefault="005658BA" w:rsidP="00234804">
      <w:pPr>
        <w:pStyle w:val="C30X"/>
        <w:spacing w:after="0"/>
        <w:jc w:val="both"/>
        <w:rPr>
          <w:b w:val="0"/>
        </w:rPr>
      </w:pPr>
      <w:proofErr w:type="spellStart"/>
      <w:r w:rsidRPr="00234804">
        <w:rPr>
          <w:b w:val="0"/>
        </w:rPr>
        <w:t>Danom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stupanja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na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sangu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ove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Odluke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prestaje</w:t>
      </w:r>
      <w:proofErr w:type="spellEnd"/>
      <w:r w:rsidRPr="00234804">
        <w:rPr>
          <w:b w:val="0"/>
        </w:rPr>
        <w:t xml:space="preserve"> da </w:t>
      </w:r>
      <w:proofErr w:type="spellStart"/>
      <w:r w:rsidRPr="00234804">
        <w:rPr>
          <w:b w:val="0"/>
        </w:rPr>
        <w:t>važi</w:t>
      </w:r>
      <w:proofErr w:type="spellEnd"/>
      <w:r w:rsidR="00A41E84">
        <w:rPr>
          <w:b w:val="0"/>
        </w:rPr>
        <w:t xml:space="preserve"> </w:t>
      </w:r>
      <w:proofErr w:type="spellStart"/>
      <w:r w:rsidR="00A41E84">
        <w:rPr>
          <w:b w:val="0"/>
        </w:rPr>
        <w:t>Odluka</w:t>
      </w:r>
      <w:proofErr w:type="spellEnd"/>
      <w:r w:rsidR="00A41E84">
        <w:rPr>
          <w:b w:val="0"/>
        </w:rPr>
        <w:t xml:space="preserve"> o </w:t>
      </w:r>
      <w:proofErr w:type="spellStart"/>
      <w:r w:rsidR="00A41E84">
        <w:rPr>
          <w:b w:val="0"/>
        </w:rPr>
        <w:t>zaradama</w:t>
      </w:r>
      <w:proofErr w:type="spellEnd"/>
      <w:r w:rsidR="00A41E84">
        <w:rPr>
          <w:b w:val="0"/>
        </w:rPr>
        <w:t xml:space="preserve"> </w:t>
      </w:r>
      <w:proofErr w:type="spellStart"/>
      <w:r w:rsidR="00A41E84">
        <w:rPr>
          <w:b w:val="0"/>
        </w:rPr>
        <w:t>lokal</w:t>
      </w:r>
      <w:r w:rsidRPr="00234804">
        <w:rPr>
          <w:b w:val="0"/>
        </w:rPr>
        <w:t>nih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službenika</w:t>
      </w:r>
      <w:proofErr w:type="spellEnd"/>
      <w:r w:rsidRPr="00234804">
        <w:rPr>
          <w:b w:val="0"/>
        </w:rPr>
        <w:t xml:space="preserve"> i </w:t>
      </w:r>
      <w:proofErr w:type="spellStart"/>
      <w:r w:rsidRPr="00234804">
        <w:rPr>
          <w:b w:val="0"/>
        </w:rPr>
        <w:t>namještenika</w:t>
      </w:r>
      <w:proofErr w:type="spellEnd"/>
      <w:r w:rsidRPr="00234804">
        <w:rPr>
          <w:b w:val="0"/>
        </w:rPr>
        <w:t xml:space="preserve"> u </w:t>
      </w:r>
      <w:proofErr w:type="spellStart"/>
      <w:r w:rsidRPr="00234804">
        <w:rPr>
          <w:b w:val="0"/>
        </w:rPr>
        <w:t>opštini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Rožaje</w:t>
      </w:r>
      <w:proofErr w:type="spellEnd"/>
      <w:r w:rsidRPr="00234804">
        <w:rPr>
          <w:b w:val="0"/>
        </w:rPr>
        <w:t xml:space="preserve"> (</w:t>
      </w:r>
      <w:r w:rsidR="00A41E84">
        <w:rPr>
          <w:b w:val="0"/>
        </w:rPr>
        <w:t>“</w:t>
      </w:r>
      <w:r w:rsidRPr="00234804">
        <w:rPr>
          <w:b w:val="0"/>
        </w:rPr>
        <w:t>Sl.</w:t>
      </w:r>
      <w:r w:rsidR="00A41E84">
        <w:rPr>
          <w:b w:val="0"/>
        </w:rPr>
        <w:t xml:space="preserve"> </w:t>
      </w:r>
      <w:r w:rsidRPr="00234804">
        <w:rPr>
          <w:b w:val="0"/>
        </w:rPr>
        <w:t>list CG-</w:t>
      </w:r>
      <w:proofErr w:type="spellStart"/>
      <w:r w:rsidRPr="00234804">
        <w:rPr>
          <w:b w:val="0"/>
        </w:rPr>
        <w:t>Opštinski</w:t>
      </w:r>
      <w:proofErr w:type="spellEnd"/>
      <w:r w:rsidRPr="00234804">
        <w:rPr>
          <w:b w:val="0"/>
        </w:rPr>
        <w:t xml:space="preserve"> </w:t>
      </w:r>
      <w:proofErr w:type="spellStart"/>
      <w:r w:rsidRPr="00234804">
        <w:rPr>
          <w:b w:val="0"/>
        </w:rPr>
        <w:t>propisi</w:t>
      </w:r>
      <w:proofErr w:type="spellEnd"/>
      <w:r w:rsidR="00A41E84">
        <w:rPr>
          <w:b w:val="0"/>
        </w:rPr>
        <w:t>”</w:t>
      </w:r>
      <w:proofErr w:type="gramStart"/>
      <w:r w:rsidR="00A41E84">
        <w:rPr>
          <w:b w:val="0"/>
        </w:rPr>
        <w:t xml:space="preserve">, </w:t>
      </w:r>
      <w:r w:rsidRPr="00234804">
        <w:rPr>
          <w:b w:val="0"/>
        </w:rPr>
        <w:t xml:space="preserve"> br</w:t>
      </w:r>
      <w:proofErr w:type="gramEnd"/>
      <w:r w:rsidRPr="00234804">
        <w:rPr>
          <w:b w:val="0"/>
        </w:rPr>
        <w:t xml:space="preserve">. 6/18 i </w:t>
      </w:r>
      <w:r w:rsidR="00601E59" w:rsidRPr="00234804">
        <w:rPr>
          <w:b w:val="0"/>
        </w:rPr>
        <w:t>48/20)</w:t>
      </w:r>
    </w:p>
    <w:p w:rsidR="005658BA" w:rsidRPr="00234804" w:rsidRDefault="002F48EF" w:rsidP="00234804">
      <w:pPr>
        <w:pStyle w:val="C30X"/>
        <w:spacing w:after="0"/>
      </w:pPr>
      <w:proofErr w:type="spellStart"/>
      <w:r w:rsidRPr="00234804">
        <w:t>Član</w:t>
      </w:r>
      <w:proofErr w:type="spellEnd"/>
      <w:r w:rsidRPr="00234804">
        <w:t xml:space="preserve"> 15</w:t>
      </w:r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  <w:r w:rsidRPr="00234804">
        <w:rPr>
          <w:sz w:val="24"/>
          <w:szCs w:val="24"/>
        </w:rPr>
        <w:t xml:space="preserve">Ova </w:t>
      </w:r>
      <w:proofErr w:type="spellStart"/>
      <w:r w:rsidRPr="00234804">
        <w:rPr>
          <w:sz w:val="24"/>
          <w:szCs w:val="24"/>
        </w:rPr>
        <w:t>Odluka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stupa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proofErr w:type="gramStart"/>
      <w:r w:rsidRPr="00234804">
        <w:rPr>
          <w:sz w:val="24"/>
          <w:szCs w:val="24"/>
        </w:rPr>
        <w:t>na</w:t>
      </w:r>
      <w:proofErr w:type="spellEnd"/>
      <w:proofErr w:type="gram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snagu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osmog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dana</w:t>
      </w:r>
      <w:proofErr w:type="spellEnd"/>
      <w:r w:rsidRPr="00234804">
        <w:rPr>
          <w:sz w:val="24"/>
          <w:szCs w:val="24"/>
        </w:rPr>
        <w:t xml:space="preserve"> od </w:t>
      </w:r>
      <w:proofErr w:type="spellStart"/>
      <w:r w:rsidRPr="00234804">
        <w:rPr>
          <w:sz w:val="24"/>
          <w:szCs w:val="24"/>
        </w:rPr>
        <w:t>dana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objavljivanja</w:t>
      </w:r>
      <w:proofErr w:type="spellEnd"/>
      <w:r w:rsidRPr="00234804">
        <w:rPr>
          <w:sz w:val="24"/>
          <w:szCs w:val="24"/>
        </w:rPr>
        <w:t xml:space="preserve"> u "</w:t>
      </w:r>
      <w:proofErr w:type="spellStart"/>
      <w:r w:rsidRPr="00234804">
        <w:rPr>
          <w:sz w:val="24"/>
          <w:szCs w:val="24"/>
        </w:rPr>
        <w:t>Službenom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listu</w:t>
      </w:r>
      <w:proofErr w:type="spellEnd"/>
      <w:r w:rsidRPr="00234804">
        <w:rPr>
          <w:sz w:val="24"/>
          <w:szCs w:val="24"/>
        </w:rPr>
        <w:t xml:space="preserve"> CG - </w:t>
      </w:r>
      <w:proofErr w:type="spellStart"/>
      <w:r w:rsidRPr="00234804">
        <w:rPr>
          <w:sz w:val="24"/>
          <w:szCs w:val="24"/>
        </w:rPr>
        <w:t>Opštinski</w:t>
      </w:r>
      <w:proofErr w:type="spellEnd"/>
      <w:r w:rsidRPr="00234804">
        <w:rPr>
          <w:sz w:val="24"/>
          <w:szCs w:val="24"/>
        </w:rPr>
        <w:t xml:space="preserve"> </w:t>
      </w:r>
      <w:proofErr w:type="spellStart"/>
      <w:r w:rsidRPr="00234804">
        <w:rPr>
          <w:sz w:val="24"/>
          <w:szCs w:val="24"/>
        </w:rPr>
        <w:t>propisi</w:t>
      </w:r>
      <w:proofErr w:type="spellEnd"/>
      <w:r w:rsidRPr="00234804">
        <w:rPr>
          <w:sz w:val="24"/>
          <w:szCs w:val="24"/>
        </w:rPr>
        <w:t>".</w:t>
      </w:r>
    </w:p>
    <w:p w:rsidR="006330C5" w:rsidRPr="00234804" w:rsidRDefault="006330C5" w:rsidP="00234804">
      <w:pPr>
        <w:pStyle w:val="T30X"/>
        <w:spacing w:after="0"/>
        <w:rPr>
          <w:sz w:val="24"/>
          <w:szCs w:val="24"/>
        </w:rPr>
      </w:pPr>
    </w:p>
    <w:p w:rsidR="00E63C48" w:rsidRPr="00234804" w:rsidRDefault="00E63C48" w:rsidP="002348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E84" w:rsidRPr="00A41E84" w:rsidRDefault="00902FE9" w:rsidP="00A41E84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>Broj: 02-016/23-165</w:t>
      </w:r>
    </w:p>
    <w:p w:rsidR="00A41E84" w:rsidRPr="00A41E84" w:rsidRDefault="00A41E84" w:rsidP="00A41E84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</w:pP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>Rožaje, 25.05.2023. godine</w:t>
      </w:r>
    </w:p>
    <w:p w:rsidR="00A41E84" w:rsidRPr="00A41E84" w:rsidRDefault="00A41E84" w:rsidP="00A41E84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</w:pPr>
    </w:p>
    <w:p w:rsidR="00A41E84" w:rsidRPr="00A41E84" w:rsidRDefault="00A41E84" w:rsidP="00A41E84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</w:pP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>SKUPŠTINA OPŠTINE ROŽAJE</w:t>
      </w:r>
    </w:p>
    <w:p w:rsidR="00A41E84" w:rsidRPr="00A41E84" w:rsidRDefault="00A41E84" w:rsidP="00A41E8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</w:pP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b/>
          <w:sz w:val="24"/>
          <w:szCs w:val="24"/>
          <w:lang w:val="sr-Latn-CS" w:eastAsia="sr-Latn-ME"/>
        </w:rPr>
        <w:tab/>
        <w:t xml:space="preserve">  </w:t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>Predsjednik Skupštine,</w:t>
      </w:r>
    </w:p>
    <w:p w:rsidR="007C5335" w:rsidRPr="00A41E84" w:rsidRDefault="00A41E84" w:rsidP="00A41E8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</w:pP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</w:r>
      <w:r w:rsidRPr="00A41E84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ab/>
        <w:t xml:space="preserve">                     Almir Avdić</w:t>
      </w:r>
      <w:r w:rsidR="00902FE9">
        <w:rPr>
          <w:rFonts w:ascii="Times New Roman" w:eastAsiaTheme="minorEastAsia" w:hAnsi="Times New Roman" w:cs="Times New Roman"/>
          <w:sz w:val="24"/>
          <w:szCs w:val="24"/>
          <w:lang w:val="sr-Latn-CS" w:eastAsia="sr-Latn-ME"/>
        </w:rPr>
        <w:t xml:space="preserve">, s. r. </w:t>
      </w:r>
      <w:bookmarkStart w:id="0" w:name="_GoBack"/>
      <w:bookmarkEnd w:id="0"/>
    </w:p>
    <w:p w:rsidR="007C5335" w:rsidRPr="00234804" w:rsidRDefault="007C5335" w:rsidP="002348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7CD" w:rsidRPr="00234804" w:rsidRDefault="009677CD" w:rsidP="00A41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77CD" w:rsidRPr="00234804" w:rsidRDefault="009677CD" w:rsidP="00A41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677CD" w:rsidRPr="00234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B2" w:rsidRDefault="003063B2" w:rsidP="00A41E84">
      <w:pPr>
        <w:spacing w:after="0" w:line="240" w:lineRule="auto"/>
      </w:pPr>
      <w:r>
        <w:separator/>
      </w:r>
    </w:p>
  </w:endnote>
  <w:endnote w:type="continuationSeparator" w:id="0">
    <w:p w:rsidR="003063B2" w:rsidRDefault="003063B2" w:rsidP="00A4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B2" w:rsidRDefault="003063B2" w:rsidP="00A41E84">
      <w:pPr>
        <w:spacing w:after="0" w:line="240" w:lineRule="auto"/>
      </w:pPr>
      <w:r>
        <w:separator/>
      </w:r>
    </w:p>
  </w:footnote>
  <w:footnote w:type="continuationSeparator" w:id="0">
    <w:p w:rsidR="003063B2" w:rsidRDefault="003063B2" w:rsidP="00A41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7F"/>
    <w:rsid w:val="0006439A"/>
    <w:rsid w:val="001363C8"/>
    <w:rsid w:val="001522E6"/>
    <w:rsid w:val="001A0C70"/>
    <w:rsid w:val="001D0AC9"/>
    <w:rsid w:val="001D0E7F"/>
    <w:rsid w:val="001D364B"/>
    <w:rsid w:val="001E1065"/>
    <w:rsid w:val="00234804"/>
    <w:rsid w:val="00282EFF"/>
    <w:rsid w:val="002A050D"/>
    <w:rsid w:val="002C7EA1"/>
    <w:rsid w:val="002F48EF"/>
    <w:rsid w:val="003056C5"/>
    <w:rsid w:val="003063B2"/>
    <w:rsid w:val="00323D88"/>
    <w:rsid w:val="00346B1B"/>
    <w:rsid w:val="00357595"/>
    <w:rsid w:val="0044276A"/>
    <w:rsid w:val="00457760"/>
    <w:rsid w:val="004723F5"/>
    <w:rsid w:val="00473742"/>
    <w:rsid w:val="0048183A"/>
    <w:rsid w:val="00485C0A"/>
    <w:rsid w:val="004B17D3"/>
    <w:rsid w:val="005658BA"/>
    <w:rsid w:val="005831EC"/>
    <w:rsid w:val="005854C8"/>
    <w:rsid w:val="0059598E"/>
    <w:rsid w:val="005C6820"/>
    <w:rsid w:val="005E4F41"/>
    <w:rsid w:val="005F3361"/>
    <w:rsid w:val="00601E59"/>
    <w:rsid w:val="006067BF"/>
    <w:rsid w:val="00616FA7"/>
    <w:rsid w:val="006330C5"/>
    <w:rsid w:val="00695292"/>
    <w:rsid w:val="00734C9A"/>
    <w:rsid w:val="007675A5"/>
    <w:rsid w:val="007B1842"/>
    <w:rsid w:val="007B1B68"/>
    <w:rsid w:val="007C5335"/>
    <w:rsid w:val="00810660"/>
    <w:rsid w:val="0081586D"/>
    <w:rsid w:val="00855F19"/>
    <w:rsid w:val="00902FE9"/>
    <w:rsid w:val="00904A98"/>
    <w:rsid w:val="00936D2C"/>
    <w:rsid w:val="009677CD"/>
    <w:rsid w:val="009F6B6D"/>
    <w:rsid w:val="00A40CA0"/>
    <w:rsid w:val="00A41E84"/>
    <w:rsid w:val="00A6051B"/>
    <w:rsid w:val="00A825DA"/>
    <w:rsid w:val="00AD13D9"/>
    <w:rsid w:val="00AD44A6"/>
    <w:rsid w:val="00B25316"/>
    <w:rsid w:val="00B45A98"/>
    <w:rsid w:val="00B56346"/>
    <w:rsid w:val="00B573B2"/>
    <w:rsid w:val="00B75686"/>
    <w:rsid w:val="00B96948"/>
    <w:rsid w:val="00BA2903"/>
    <w:rsid w:val="00BF428F"/>
    <w:rsid w:val="00C1616C"/>
    <w:rsid w:val="00CB012C"/>
    <w:rsid w:val="00CD0F34"/>
    <w:rsid w:val="00D00B40"/>
    <w:rsid w:val="00D563CB"/>
    <w:rsid w:val="00D73F9B"/>
    <w:rsid w:val="00DB444C"/>
    <w:rsid w:val="00E23EA0"/>
    <w:rsid w:val="00E25DD6"/>
    <w:rsid w:val="00E31DE0"/>
    <w:rsid w:val="00E4574D"/>
    <w:rsid w:val="00E63C48"/>
    <w:rsid w:val="00E77205"/>
    <w:rsid w:val="00E90ABB"/>
    <w:rsid w:val="00F00182"/>
    <w:rsid w:val="00F15970"/>
    <w:rsid w:val="00F2552B"/>
    <w:rsid w:val="00F3381C"/>
    <w:rsid w:val="00FB3E9F"/>
    <w:rsid w:val="00FC5007"/>
    <w:rsid w:val="00FE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1X">
    <w:name w:val="N01X"/>
    <w:basedOn w:val="Normal"/>
    <w:uiPriority w:val="99"/>
    <w:rsid w:val="00E63C48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C30X">
    <w:name w:val="C30X"/>
    <w:basedOn w:val="Normal"/>
    <w:uiPriority w:val="99"/>
    <w:rsid w:val="00E63C48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C31X">
    <w:name w:val="C31X"/>
    <w:basedOn w:val="Normal"/>
    <w:uiPriority w:val="99"/>
    <w:rsid w:val="00E63C48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</w:rPr>
  </w:style>
  <w:style w:type="paragraph" w:customStyle="1" w:styleId="N05Y">
    <w:name w:val="N05Y"/>
    <w:basedOn w:val="Normal"/>
    <w:uiPriority w:val="99"/>
    <w:rsid w:val="00E63C48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E63C48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DefaultParagraphFont0">
    <w:name w:val="DefaultParagraphFont"/>
    <w:rsid w:val="005F3361"/>
  </w:style>
  <w:style w:type="paragraph" w:styleId="BalloonText">
    <w:name w:val="Balloon Text"/>
    <w:basedOn w:val="Normal"/>
    <w:link w:val="BalloonTextChar"/>
    <w:uiPriority w:val="99"/>
    <w:semiHidden/>
    <w:unhideWhenUsed/>
    <w:rsid w:val="007B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1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E84"/>
  </w:style>
  <w:style w:type="paragraph" w:styleId="Footer">
    <w:name w:val="footer"/>
    <w:basedOn w:val="Normal"/>
    <w:link w:val="FooterChar"/>
    <w:uiPriority w:val="99"/>
    <w:unhideWhenUsed/>
    <w:rsid w:val="00A41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1X">
    <w:name w:val="N01X"/>
    <w:basedOn w:val="Normal"/>
    <w:uiPriority w:val="99"/>
    <w:rsid w:val="00E63C48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C30X">
    <w:name w:val="C30X"/>
    <w:basedOn w:val="Normal"/>
    <w:uiPriority w:val="99"/>
    <w:rsid w:val="00E63C48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C31X">
    <w:name w:val="C31X"/>
    <w:basedOn w:val="Normal"/>
    <w:uiPriority w:val="99"/>
    <w:rsid w:val="00E63C48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</w:rPr>
  </w:style>
  <w:style w:type="paragraph" w:customStyle="1" w:styleId="N05Y">
    <w:name w:val="N05Y"/>
    <w:basedOn w:val="Normal"/>
    <w:uiPriority w:val="99"/>
    <w:rsid w:val="00E63C48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E63C48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DefaultParagraphFont0">
    <w:name w:val="DefaultParagraphFont"/>
    <w:rsid w:val="005F3361"/>
  </w:style>
  <w:style w:type="paragraph" w:styleId="BalloonText">
    <w:name w:val="Balloon Text"/>
    <w:basedOn w:val="Normal"/>
    <w:link w:val="BalloonTextChar"/>
    <w:uiPriority w:val="99"/>
    <w:semiHidden/>
    <w:unhideWhenUsed/>
    <w:rsid w:val="007B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1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E84"/>
  </w:style>
  <w:style w:type="paragraph" w:styleId="Footer">
    <w:name w:val="footer"/>
    <w:basedOn w:val="Normal"/>
    <w:link w:val="FooterChar"/>
    <w:uiPriority w:val="99"/>
    <w:unhideWhenUsed/>
    <w:rsid w:val="00A41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6</cp:revision>
  <cp:lastPrinted>2023-05-25T06:58:00Z</cp:lastPrinted>
  <dcterms:created xsi:type="dcterms:W3CDTF">2023-05-25T11:30:00Z</dcterms:created>
  <dcterms:modified xsi:type="dcterms:W3CDTF">2023-05-26T10:15:00Z</dcterms:modified>
</cp:coreProperties>
</file>