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07" w:rsidRPr="00077F3D" w:rsidRDefault="001B4E07" w:rsidP="001B4E07">
      <w:pPr>
        <w:spacing w:after="0" w:line="240" w:lineRule="auto"/>
        <w:ind w:left="7494" w:righ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67435B" w:rsidP="00F755C7">
      <w:pPr>
        <w:ind w:left="-426" w:right="-375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239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19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planiranju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izgradnji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list CG", br. 64/17, 44/18, 63/18</w:t>
      </w:r>
      <w:proofErr w:type="gramStart"/>
      <w:r w:rsidR="00E94CD4" w:rsidRPr="008050FB">
        <w:rPr>
          <w:rFonts w:ascii="Times New Roman" w:hAnsi="Times New Roman" w:cs="Times New Roman"/>
          <w:sz w:val="24"/>
          <w:szCs w:val="24"/>
        </w:rPr>
        <w:t>,</w:t>
      </w:r>
      <w:r w:rsidRPr="008050FB">
        <w:rPr>
          <w:rFonts w:ascii="Times New Roman" w:hAnsi="Times New Roman" w:cs="Times New Roman"/>
          <w:sz w:val="24"/>
          <w:szCs w:val="24"/>
        </w:rPr>
        <w:t>82</w:t>
      </w:r>
      <w:proofErr w:type="gramEnd"/>
      <w:r w:rsidRPr="008050FB">
        <w:rPr>
          <w:rFonts w:ascii="Times New Roman" w:hAnsi="Times New Roman" w:cs="Times New Roman"/>
          <w:sz w:val="24"/>
          <w:szCs w:val="24"/>
        </w:rPr>
        <w:t>/20</w:t>
      </w:r>
      <w:r w:rsidR="00142458" w:rsidRPr="008050FB">
        <w:rPr>
          <w:rFonts w:ascii="Times New Roman" w:hAnsi="Times New Roman" w:cs="Times New Roman"/>
          <w:sz w:val="24"/>
          <w:szCs w:val="24"/>
        </w:rPr>
        <w:t xml:space="preserve">, </w:t>
      </w:r>
      <w:r w:rsidR="00E94CD4" w:rsidRPr="008050FB">
        <w:rPr>
          <w:rFonts w:ascii="Times New Roman" w:hAnsi="Times New Roman" w:cs="Times New Roman"/>
          <w:sz w:val="24"/>
          <w:szCs w:val="24"/>
        </w:rPr>
        <w:t>86/22</w:t>
      </w:r>
      <w:r w:rsidR="00142458" w:rsidRPr="008050FB">
        <w:rPr>
          <w:rFonts w:ascii="Times New Roman" w:hAnsi="Times New Roman" w:cs="Times New Roman"/>
          <w:sz w:val="24"/>
          <w:szCs w:val="24"/>
        </w:rPr>
        <w:t xml:space="preserve"> i 04/23</w:t>
      </w:r>
      <w:r w:rsidRPr="008050F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člаnа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5,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28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2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tač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. 2 i 8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Zаkоnа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lоkаlnој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sаmоuprаvi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list CG“, br. 2/18, 34/19 i 38/20)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 list</w:t>
      </w:r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CG - </w:t>
      </w:r>
      <w:proofErr w:type="spellStart"/>
      <w:r w:rsidR="00166C04" w:rsidRPr="008050FB">
        <w:rPr>
          <w:rFonts w:ascii="Times New Roman" w:hAnsi="Times New Roman" w:cs="Times New Roman"/>
          <w:sz w:val="24"/>
          <w:szCs w:val="24"/>
        </w:rPr>
        <w:t>o</w:t>
      </w:r>
      <w:r w:rsidRPr="008050FB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38/18</w:t>
      </w:r>
      <w:r w:rsidR="009722FF" w:rsidRPr="008050FB">
        <w:rPr>
          <w:rFonts w:ascii="Times New Roman" w:hAnsi="Times New Roman" w:cs="Times New Roman"/>
          <w:sz w:val="24"/>
          <w:szCs w:val="24"/>
        </w:rPr>
        <w:t>i</w:t>
      </w:r>
      <w:r w:rsidRPr="008050FB">
        <w:rPr>
          <w:rFonts w:ascii="Times New Roman" w:hAnsi="Times New Roman" w:cs="Times New Roman"/>
          <w:sz w:val="24"/>
          <w:szCs w:val="24"/>
        </w:rPr>
        <w:t xml:space="preserve"> 16/21),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prethodnu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Vlade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Gore</w:t>
      </w:r>
      <w:r w:rsidR="00142458" w:rsidRPr="008050FB">
        <w:rPr>
          <w:rFonts w:ascii="Times New Roman" w:hAnsi="Times New Roman" w:cs="Times New Roman"/>
          <w:sz w:val="24"/>
          <w:szCs w:val="24"/>
        </w:rPr>
        <w:t xml:space="preserve"> br.07-8398/2 </w:t>
      </w:r>
      <w:proofErr w:type="spellStart"/>
      <w:r w:rsidR="00142458" w:rsidRPr="008050F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142458" w:rsidRPr="008050FB">
        <w:rPr>
          <w:rFonts w:ascii="Times New Roman" w:hAnsi="Times New Roman" w:cs="Times New Roman"/>
          <w:sz w:val="24"/>
          <w:szCs w:val="24"/>
        </w:rPr>
        <w:t xml:space="preserve"> 12.01</w:t>
      </w:r>
      <w:r w:rsidR="00AB559B" w:rsidRPr="008050FB">
        <w:rPr>
          <w:rFonts w:ascii="Times New Roman" w:hAnsi="Times New Roman" w:cs="Times New Roman"/>
          <w:sz w:val="24"/>
          <w:szCs w:val="24"/>
        </w:rPr>
        <w:t>.202</w:t>
      </w:r>
      <w:r w:rsidR="00142458" w:rsidRPr="008050FB">
        <w:rPr>
          <w:rFonts w:ascii="Times New Roman" w:hAnsi="Times New Roman" w:cs="Times New Roman"/>
          <w:sz w:val="24"/>
          <w:szCs w:val="24"/>
        </w:rPr>
        <w:t>3</w:t>
      </w:r>
      <w:r w:rsidR="00AB559B" w:rsidRPr="008050FB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AB559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59B" w:rsidRPr="008050F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B559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59B" w:rsidRPr="008050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B559B"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559B"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B559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0FB" w:rsidRPr="008050FB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8050F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0FB" w:rsidRPr="008050FB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8050F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0FB" w:rsidRPr="008050F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8050FB" w:rsidRPr="008050FB">
        <w:rPr>
          <w:rFonts w:ascii="Times New Roman" w:hAnsi="Times New Roman" w:cs="Times New Roman"/>
          <w:sz w:val="24"/>
          <w:szCs w:val="24"/>
        </w:rPr>
        <w:t xml:space="preserve"> 02.03.</w:t>
      </w:r>
      <w:r w:rsidRPr="008050FB">
        <w:rPr>
          <w:rFonts w:ascii="Times New Roman" w:hAnsi="Times New Roman" w:cs="Times New Roman"/>
          <w:sz w:val="24"/>
          <w:szCs w:val="24"/>
        </w:rPr>
        <w:t>202</w:t>
      </w:r>
      <w:r w:rsidR="00142458" w:rsidRPr="008050FB">
        <w:rPr>
          <w:rFonts w:ascii="Times New Roman" w:hAnsi="Times New Roman" w:cs="Times New Roman"/>
          <w:sz w:val="24"/>
          <w:szCs w:val="24"/>
        </w:rPr>
        <w:t>3</w:t>
      </w:r>
      <w:r w:rsidRPr="008050FB">
        <w:rPr>
          <w:rFonts w:ascii="Times New Roman" w:hAnsi="Times New Roman" w:cs="Times New Roman"/>
          <w:sz w:val="24"/>
          <w:szCs w:val="24"/>
        </w:rPr>
        <w:t xml:space="preserve">.godine,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5B3004" w:rsidRPr="008050FB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8050FB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0F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B3004" w:rsidRPr="008050FB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50FB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izmje</w:t>
      </w:r>
      <w:r w:rsidR="00F36679" w:rsidRPr="008050FB">
        <w:rPr>
          <w:rFonts w:ascii="Times New Roman" w:hAnsi="Times New Roman" w:cs="Times New Roman"/>
          <w:b/>
          <w:sz w:val="24"/>
          <w:szCs w:val="24"/>
        </w:rPr>
        <w:t>nama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dopun</w:t>
      </w:r>
      <w:r w:rsidR="00F36679" w:rsidRPr="008050FB">
        <w:rPr>
          <w:rFonts w:ascii="Times New Roman" w:hAnsi="Times New Roman" w:cs="Times New Roman"/>
          <w:b/>
          <w:sz w:val="24"/>
          <w:szCs w:val="24"/>
        </w:rPr>
        <w:t>ama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Odluke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0A3F93" w:rsidRPr="008050FB">
        <w:rPr>
          <w:rFonts w:ascii="Times New Roman" w:hAnsi="Times New Roman" w:cs="Times New Roman"/>
          <w:b/>
          <w:sz w:val="24"/>
          <w:szCs w:val="24"/>
        </w:rPr>
        <w:t>nak</w:t>
      </w:r>
      <w:r w:rsidR="0067435B" w:rsidRPr="008050FB">
        <w:rPr>
          <w:rFonts w:ascii="Times New Roman" w:hAnsi="Times New Roman" w:cs="Times New Roman"/>
          <w:b/>
          <w:sz w:val="24"/>
          <w:szCs w:val="24"/>
        </w:rPr>
        <w:t>n</w:t>
      </w:r>
      <w:r w:rsidR="000A3F93" w:rsidRPr="008050FB">
        <w:rPr>
          <w:rFonts w:ascii="Times New Roman" w:hAnsi="Times New Roman" w:cs="Times New Roman"/>
          <w:b/>
          <w:sz w:val="24"/>
          <w:szCs w:val="24"/>
        </w:rPr>
        <w:t>a</w:t>
      </w:r>
      <w:r w:rsidR="0067435B" w:rsidRPr="008050FB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67435B"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="0067435B"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b/>
          <w:sz w:val="24"/>
          <w:szCs w:val="24"/>
        </w:rPr>
        <w:t>komunalno</w:t>
      </w:r>
      <w:proofErr w:type="spellEnd"/>
      <w:r w:rsidR="0067435B"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b/>
          <w:sz w:val="24"/>
          <w:szCs w:val="24"/>
        </w:rPr>
        <w:t>opremanje</w:t>
      </w:r>
      <w:proofErr w:type="spellEnd"/>
      <w:r w:rsidR="0067435B"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b/>
          <w:sz w:val="24"/>
          <w:szCs w:val="24"/>
        </w:rPr>
        <w:t>građevinskog</w:t>
      </w:r>
      <w:proofErr w:type="spellEnd"/>
      <w:r w:rsidR="0067435B"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b/>
          <w:sz w:val="24"/>
          <w:szCs w:val="24"/>
        </w:rPr>
        <w:t>zemljišta</w:t>
      </w:r>
      <w:proofErr w:type="spellEnd"/>
    </w:p>
    <w:p w:rsidR="003D27BE" w:rsidRPr="008050FB" w:rsidRDefault="003D27BE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8050FB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82829" w:rsidRPr="008050FB" w:rsidRDefault="000B4557" w:rsidP="00DE6815">
      <w:pPr>
        <w:spacing w:after="0" w:line="240" w:lineRule="auto"/>
        <w:ind w:left="-426" w:right="-37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</w:t>
      </w:r>
      <w:r w:rsidR="000A3F93" w:rsidRPr="008050FB">
        <w:rPr>
          <w:rFonts w:ascii="Times New Roman" w:hAnsi="Times New Roman" w:cs="Times New Roman"/>
          <w:sz w:val="24"/>
          <w:szCs w:val="24"/>
        </w:rPr>
        <w:t>nak</w:t>
      </w:r>
      <w:r w:rsidR="0067435B" w:rsidRPr="008050FB">
        <w:rPr>
          <w:rFonts w:ascii="Times New Roman" w:hAnsi="Times New Roman" w:cs="Times New Roman"/>
          <w:sz w:val="24"/>
          <w:szCs w:val="24"/>
        </w:rPr>
        <w:t>n</w:t>
      </w:r>
      <w:r w:rsidR="000A3F93" w:rsidRPr="008050FB">
        <w:rPr>
          <w:rFonts w:ascii="Times New Roman" w:hAnsi="Times New Roman" w:cs="Times New Roman"/>
          <w:sz w:val="24"/>
          <w:szCs w:val="24"/>
        </w:rPr>
        <w:t>a</w:t>
      </w:r>
      <w:r w:rsidR="0067435B" w:rsidRPr="008050F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Sl</w:t>
      </w:r>
      <w:r w:rsidR="00E94CD4" w:rsidRPr="008050FB">
        <w:rPr>
          <w:rFonts w:ascii="Times New Roman" w:hAnsi="Times New Roman" w:cs="Times New Roman"/>
          <w:sz w:val="24"/>
          <w:szCs w:val="24"/>
        </w:rPr>
        <w:t>užbeni</w:t>
      </w:r>
      <w:proofErr w:type="spellEnd"/>
      <w:r w:rsidR="00E94CD4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 xml:space="preserve">list </w:t>
      </w:r>
      <w:r w:rsidR="005B3004" w:rsidRPr="008050FB">
        <w:rPr>
          <w:rFonts w:ascii="Times New Roman" w:hAnsi="Times New Roman" w:cs="Times New Roman"/>
          <w:sz w:val="24"/>
          <w:szCs w:val="24"/>
        </w:rPr>
        <w:t xml:space="preserve">CG - </w:t>
      </w:r>
      <w:proofErr w:type="spellStart"/>
      <w:r w:rsidR="008050FB">
        <w:rPr>
          <w:rFonts w:ascii="Times New Roman" w:hAnsi="Times New Roman" w:cs="Times New Roman"/>
          <w:sz w:val="24"/>
          <w:szCs w:val="24"/>
        </w:rPr>
        <w:t>O</w:t>
      </w:r>
      <w:r w:rsidR="005B3004" w:rsidRPr="008050FB">
        <w:rPr>
          <w:rFonts w:ascii="Times New Roman" w:hAnsi="Times New Roman" w:cs="Times New Roman"/>
          <w:sz w:val="24"/>
          <w:szCs w:val="24"/>
        </w:rPr>
        <w:t>pštinski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”, br. </w:t>
      </w:r>
      <w:r w:rsidR="0067435B" w:rsidRPr="008050FB">
        <w:rPr>
          <w:rFonts w:ascii="Times New Roman" w:hAnsi="Times New Roman" w:cs="Times New Roman"/>
          <w:sz w:val="24"/>
          <w:szCs w:val="24"/>
        </w:rPr>
        <w:t>16/21</w:t>
      </w:r>
      <w:r w:rsidR="00077F3D" w:rsidRPr="008050FB">
        <w:rPr>
          <w:rFonts w:ascii="Times New Roman" w:hAnsi="Times New Roman" w:cs="Times New Roman"/>
          <w:sz w:val="24"/>
          <w:szCs w:val="24"/>
        </w:rPr>
        <w:t>)</w:t>
      </w:r>
      <w:r w:rsidR="00EF6B6F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D82829" w:rsidRPr="008050FB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="00D82829" w:rsidRPr="008050FB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="00D82829" w:rsidRPr="008050FB">
        <w:rPr>
          <w:rFonts w:ascii="Times New Roman" w:hAnsi="Times New Roman" w:cs="Times New Roman"/>
          <w:sz w:val="24"/>
          <w:szCs w:val="24"/>
        </w:rPr>
        <w:t xml:space="preserve"> se i </w:t>
      </w:r>
      <w:proofErr w:type="spellStart"/>
      <w:r w:rsidR="00D82829" w:rsidRPr="008050FB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D82829" w:rsidRPr="008050FB">
        <w:rPr>
          <w:rFonts w:ascii="Times New Roman" w:hAnsi="Times New Roman" w:cs="Times New Roman"/>
          <w:sz w:val="24"/>
          <w:szCs w:val="24"/>
        </w:rPr>
        <w:t>:</w:t>
      </w:r>
    </w:p>
    <w:p w:rsidR="00D82829" w:rsidRPr="008050FB" w:rsidRDefault="008831A9" w:rsidP="00DE6815">
      <w:pPr>
        <w:shd w:val="clear" w:color="auto" w:fill="FFFFFF"/>
        <w:spacing w:after="60" w:line="240" w:lineRule="auto"/>
        <w:ind w:left="-426" w:right="-37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0FB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Iznos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="00D82829" w:rsidRPr="008050F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neto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odnosno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otvorenog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parceli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projektovanoj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obavljanje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djelatnosti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obračunava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proizvod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prosječnih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troškova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komunalnog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opremanja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koefi</w:t>
      </w:r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>cijenta</w:t>
      </w:r>
      <w:proofErr w:type="spellEnd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>opremljenosti</w:t>
      </w:r>
      <w:proofErr w:type="spellEnd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3F93" w:rsidRPr="008050FB">
        <w:rPr>
          <w:rFonts w:ascii="Times New Roman" w:eastAsia="Times New Roman" w:hAnsi="Times New Roman" w:cs="Times New Roman"/>
          <w:sz w:val="24"/>
          <w:szCs w:val="24"/>
        </w:rPr>
        <w:t>zonama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D82829" w:rsidRPr="008050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82829" w:rsidRPr="008050FB" w:rsidRDefault="00D82829" w:rsidP="00D82829">
      <w:pPr>
        <w:pStyle w:val="T30X"/>
        <w:spacing w:before="0" w:after="0"/>
        <w:ind w:left="-567" w:right="-563" w:firstLine="0"/>
        <w:rPr>
          <w:b/>
          <w:color w:val="FF0000"/>
          <w:sz w:val="24"/>
          <w:szCs w:val="24"/>
        </w:rPr>
      </w:pPr>
    </w:p>
    <w:tbl>
      <w:tblPr>
        <w:tblW w:w="10213" w:type="dxa"/>
        <w:tblInd w:w="-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136"/>
        <w:gridCol w:w="1297"/>
        <w:gridCol w:w="1135"/>
        <w:gridCol w:w="1297"/>
        <w:gridCol w:w="1297"/>
        <w:gridCol w:w="1297"/>
        <w:gridCol w:w="1648"/>
      </w:tblGrid>
      <w:tr w:rsidR="00D82829" w:rsidRPr="008050FB" w:rsidTr="00A05367">
        <w:trPr>
          <w:trHeight w:hRule="exact" w:val="334"/>
        </w:trPr>
        <w:tc>
          <w:tcPr>
            <w:tcW w:w="10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63"/>
              <w:ind w:right="509"/>
              <w:jc w:val="center"/>
            </w:pPr>
            <w:r w:rsidRPr="008050FB">
              <w:rPr>
                <w:b/>
                <w:bCs/>
                <w:spacing w:val="-1"/>
              </w:rPr>
              <w:t>ZONE</w:t>
            </w:r>
          </w:p>
        </w:tc>
      </w:tr>
      <w:tr w:rsidR="00D82829" w:rsidRPr="008050FB" w:rsidTr="00A05367">
        <w:trPr>
          <w:trHeight w:hRule="exact"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1754AD">
            <w:pPr>
              <w:pStyle w:val="TableParagraph"/>
              <w:kinsoku w:val="0"/>
              <w:overflowPunct w:val="0"/>
              <w:spacing w:before="1"/>
            </w:pPr>
          </w:p>
          <w:p w:rsidR="00D82829" w:rsidRPr="008050FB" w:rsidRDefault="00D82829" w:rsidP="001754AD">
            <w:pPr>
              <w:pStyle w:val="TableParagraph"/>
              <w:kinsoku w:val="0"/>
              <w:overflowPunct w:val="0"/>
              <w:spacing w:line="205" w:lineRule="exact"/>
              <w:ind w:right="1"/>
              <w:jc w:val="center"/>
            </w:pPr>
            <w:r w:rsidRPr="008050FB">
              <w:rPr>
                <w:b/>
                <w:bCs/>
              </w:rPr>
              <w:t>I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8050FB">
              <w:rPr>
                <w:b/>
                <w:bCs/>
                <w:spacing w:val="-1"/>
              </w:rPr>
              <w:t>II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ind w:right="2"/>
              <w:jc w:val="center"/>
            </w:pPr>
            <w:r w:rsidRPr="008050FB">
              <w:rPr>
                <w:b/>
                <w:bCs/>
                <w:spacing w:val="-1"/>
              </w:rPr>
              <w:t>III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8050FB">
              <w:rPr>
                <w:b/>
                <w:bCs/>
                <w:spacing w:val="-1"/>
              </w:rPr>
              <w:t>IV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8050FB">
              <w:rPr>
                <w:b/>
                <w:bCs/>
              </w:rPr>
              <w:t>V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ind w:right="5"/>
              <w:jc w:val="center"/>
            </w:pPr>
            <w:r w:rsidRPr="008050FB">
              <w:rPr>
                <w:b/>
                <w:bCs/>
                <w:spacing w:val="-3"/>
              </w:rPr>
              <w:t>VI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8050FB">
              <w:rPr>
                <w:b/>
                <w:bCs/>
                <w:spacing w:val="-1"/>
              </w:rPr>
              <w:t>VII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spacing w:line="205" w:lineRule="exact"/>
              <w:ind w:left="339"/>
              <w:jc w:val="center"/>
            </w:pPr>
            <w:r w:rsidRPr="008050FB">
              <w:rPr>
                <w:b/>
                <w:bCs/>
                <w:spacing w:val="-1"/>
              </w:rPr>
              <w:t>VIII</w:t>
            </w:r>
          </w:p>
        </w:tc>
      </w:tr>
      <w:tr w:rsidR="00D82829" w:rsidRPr="008050FB" w:rsidTr="00A05367">
        <w:trPr>
          <w:trHeight w:hRule="exact" w:val="609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1754AD">
            <w:pPr>
              <w:pStyle w:val="TableParagraph"/>
              <w:kinsoku w:val="0"/>
              <w:overflowPunct w:val="0"/>
              <w:spacing w:before="1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181"/>
              <w:jc w:val="center"/>
            </w:pPr>
            <w:r w:rsidRPr="008050FB">
              <w:rPr>
                <w:b/>
                <w:bCs/>
              </w:rPr>
              <w:t>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239"/>
              <w:jc w:val="center"/>
            </w:pPr>
            <w:r w:rsidRPr="008050FB">
              <w:rPr>
                <w:b/>
                <w:bCs/>
              </w:rPr>
              <w:t>31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239"/>
              <w:jc w:val="center"/>
            </w:pPr>
            <w:r w:rsidRPr="008050FB">
              <w:rPr>
                <w:b/>
                <w:bCs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322"/>
              <w:jc w:val="center"/>
            </w:pPr>
            <w:r w:rsidRPr="008050FB">
              <w:rPr>
                <w:b/>
                <w:bCs/>
              </w:rPr>
              <w:t>20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323"/>
              <w:jc w:val="center"/>
            </w:pPr>
            <w:r w:rsidRPr="008050FB">
              <w:rPr>
                <w:b/>
                <w:bCs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323"/>
              <w:jc w:val="center"/>
            </w:pPr>
            <w:r w:rsidRPr="008050FB">
              <w:rPr>
                <w:b/>
                <w:bCs/>
              </w:rPr>
              <w:t>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D82829" w:rsidP="008050FB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495"/>
              <w:jc w:val="center"/>
            </w:pPr>
            <w:r w:rsidRPr="008050FB">
              <w:rPr>
                <w:b/>
                <w:bCs/>
              </w:rPr>
              <w:t>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829" w:rsidRPr="008050FB" w:rsidRDefault="00A05367" w:rsidP="008050FB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t xml:space="preserve">                      “</w:t>
            </w:r>
          </w:p>
          <w:p w:rsidR="00D82829" w:rsidRPr="008050FB" w:rsidRDefault="00D82829" w:rsidP="008050FB">
            <w:pPr>
              <w:pStyle w:val="TableParagraph"/>
              <w:kinsoku w:val="0"/>
              <w:overflowPunct w:val="0"/>
              <w:ind w:left="339"/>
              <w:jc w:val="center"/>
            </w:pPr>
            <w:r w:rsidRPr="008050FB">
              <w:rPr>
                <w:b/>
                <w:bCs/>
                <w:spacing w:val="-1"/>
              </w:rPr>
              <w:t>3</w:t>
            </w:r>
          </w:p>
        </w:tc>
      </w:tr>
    </w:tbl>
    <w:p w:rsidR="00D82829" w:rsidRPr="008050FB" w:rsidRDefault="00D82829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829" w:rsidRPr="008050FB" w:rsidRDefault="00D82829" w:rsidP="000A3F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142197" w:rsidRPr="008050FB" w:rsidRDefault="00D82829" w:rsidP="00DE6815">
      <w:pPr>
        <w:spacing w:after="0" w:line="240" w:lineRule="auto"/>
        <w:ind w:left="-426" w:right="-659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članu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142197" w:rsidRPr="008050FB">
        <w:rPr>
          <w:rFonts w:ascii="Times New Roman" w:hAnsi="Times New Roman" w:cs="Times New Roman"/>
          <w:sz w:val="24"/>
          <w:szCs w:val="24"/>
        </w:rPr>
        <w:t>1</w:t>
      </w:r>
      <w:r w:rsidR="0067435B" w:rsidRPr="008050FB">
        <w:rPr>
          <w:rFonts w:ascii="Times New Roman" w:hAnsi="Times New Roman" w:cs="Times New Roman"/>
          <w:sz w:val="24"/>
          <w:szCs w:val="24"/>
        </w:rPr>
        <w:t>3</w:t>
      </w:r>
      <w:r w:rsidR="009205D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5D7" w:rsidRPr="008050FB">
        <w:rPr>
          <w:rFonts w:ascii="Times New Roman" w:hAnsi="Times New Roman" w:cs="Times New Roman"/>
          <w:sz w:val="24"/>
          <w:szCs w:val="24"/>
        </w:rPr>
        <w:t>poslije</w:t>
      </w:r>
      <w:proofErr w:type="spellEnd"/>
      <w:r w:rsidR="009205D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5D7"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dodaju</w:t>
      </w:r>
      <w:proofErr w:type="spellEnd"/>
      <w:r w:rsid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F13013" w:rsidRPr="008050FB">
        <w:rPr>
          <w:rFonts w:ascii="Times New Roman" w:hAnsi="Times New Roman" w:cs="Times New Roman"/>
          <w:sz w:val="24"/>
          <w:szCs w:val="24"/>
        </w:rPr>
        <w:t>tri</w:t>
      </w:r>
      <w:r w:rsidR="005447C2" w:rsidRPr="008050FB">
        <w:rPr>
          <w:rFonts w:ascii="Times New Roman" w:hAnsi="Times New Roman" w:cs="Times New Roman"/>
          <w:sz w:val="24"/>
          <w:szCs w:val="24"/>
        </w:rPr>
        <w:t xml:space="preserve"> nov</w:t>
      </w:r>
      <w:r w:rsidR="00F13013" w:rsidRPr="008050FB">
        <w:rPr>
          <w:rFonts w:ascii="Times New Roman" w:hAnsi="Times New Roman" w:cs="Times New Roman"/>
          <w:sz w:val="24"/>
          <w:szCs w:val="24"/>
        </w:rPr>
        <w:t>a</w:t>
      </w:r>
      <w:r w:rsidR="005447C2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8050FB">
        <w:rPr>
          <w:rFonts w:ascii="Times New Roman" w:hAnsi="Times New Roman" w:cs="Times New Roman"/>
          <w:sz w:val="24"/>
          <w:szCs w:val="24"/>
        </w:rPr>
        <w:t xml:space="preserve">stave </w:t>
      </w:r>
      <w:proofErr w:type="spellStart"/>
      <w:r w:rsidR="00F13013" w:rsidRPr="008050FB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14219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197" w:rsidRPr="008050FB">
        <w:rPr>
          <w:rFonts w:ascii="Times New Roman" w:hAnsi="Times New Roman" w:cs="Times New Roman"/>
          <w:sz w:val="24"/>
          <w:szCs w:val="24"/>
        </w:rPr>
        <w:t>glas</w:t>
      </w:r>
      <w:r w:rsidR="00776C86" w:rsidRPr="008050F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42197" w:rsidRPr="008050FB">
        <w:rPr>
          <w:rFonts w:ascii="Times New Roman" w:hAnsi="Times New Roman" w:cs="Times New Roman"/>
          <w:sz w:val="24"/>
          <w:szCs w:val="24"/>
        </w:rPr>
        <w:t>:</w:t>
      </w:r>
    </w:p>
    <w:p w:rsidR="003B7869" w:rsidRPr="008050FB" w:rsidRDefault="003B7869" w:rsidP="00F755C7">
      <w:pPr>
        <w:spacing w:after="0" w:line="240" w:lineRule="auto"/>
        <w:ind w:right="-659"/>
        <w:jc w:val="both"/>
        <w:rPr>
          <w:rFonts w:ascii="Times New Roman" w:hAnsi="Times New Roman" w:cs="Times New Roman"/>
          <w:sz w:val="24"/>
          <w:szCs w:val="24"/>
        </w:rPr>
      </w:pPr>
    </w:p>
    <w:p w:rsidR="00C836B0" w:rsidRPr="008050FB" w:rsidRDefault="003B7869" w:rsidP="00C836B0">
      <w:pPr>
        <w:spacing w:after="0" w:line="240" w:lineRule="auto"/>
        <w:ind w:left="-426" w:right="-37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8050FB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Ako</w:t>
      </w:r>
      <w:proofErr w:type="spellEnd"/>
      <w:proofErr w:type="gram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rekonstrukcija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6BA" w:rsidRPr="008050FB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A211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1108" w:rsidRPr="008050FB">
        <w:rPr>
          <w:rFonts w:ascii="Times New Roman" w:hAnsi="Times New Roman" w:cs="Times New Roman"/>
          <w:sz w:val="24"/>
          <w:szCs w:val="24"/>
        </w:rPr>
        <w:t>rušenje</w:t>
      </w:r>
      <w:proofErr w:type="spellEnd"/>
      <w:r w:rsidR="00A211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1108" w:rsidRPr="008050FB">
        <w:rPr>
          <w:rFonts w:ascii="Times New Roman" w:hAnsi="Times New Roman" w:cs="Times New Roman"/>
          <w:sz w:val="24"/>
          <w:szCs w:val="24"/>
        </w:rPr>
        <w:t>postojećeg</w:t>
      </w:r>
      <w:proofErr w:type="spellEnd"/>
      <w:r w:rsidR="00A211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6BA" w:rsidRPr="008050FB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6726BA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6BA" w:rsidRPr="008050FB">
        <w:rPr>
          <w:rFonts w:ascii="Times New Roman" w:hAnsi="Times New Roman" w:cs="Times New Roman"/>
          <w:sz w:val="24"/>
          <w:szCs w:val="24"/>
        </w:rPr>
        <w:t>izgradnje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novog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postojećim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gabaritima</w:t>
      </w:r>
      <w:proofErr w:type="spellEnd"/>
      <w:r w:rsidR="006726BA" w:rsidRPr="008050FB">
        <w:rPr>
          <w:rFonts w:ascii="Times New Roman" w:hAnsi="Times New Roman" w:cs="Times New Roman"/>
          <w:sz w:val="24"/>
          <w:szCs w:val="24"/>
        </w:rPr>
        <w:t>,</w:t>
      </w:r>
      <w:r w:rsidR="0067435B" w:rsidRPr="008050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dodatno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36B0" w:rsidRPr="008050FB">
        <w:rPr>
          <w:rFonts w:ascii="Times New Roman" w:hAnsi="Times New Roman" w:cs="Times New Roman"/>
          <w:sz w:val="24"/>
          <w:szCs w:val="24"/>
        </w:rPr>
        <w:t>investitor</w:t>
      </w:r>
      <w:proofErr w:type="spellEnd"/>
      <w:r w:rsidR="00C836B0" w:rsidRPr="008050FB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C836B0" w:rsidRPr="008050FB">
        <w:rPr>
          <w:rFonts w:ascii="Times New Roman" w:hAnsi="Times New Roman" w:cs="Times New Roman"/>
          <w:sz w:val="24"/>
          <w:szCs w:val="24"/>
        </w:rPr>
        <w:t>plaća</w:t>
      </w:r>
      <w:proofErr w:type="spellEnd"/>
      <w:r w:rsidR="00C836B0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6B0" w:rsidRPr="008050FB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="00C836B0" w:rsidRPr="008050FB">
        <w:rPr>
          <w:rFonts w:ascii="Times New Roman" w:hAnsi="Times New Roman" w:cs="Times New Roman"/>
          <w:sz w:val="24"/>
          <w:szCs w:val="24"/>
        </w:rPr>
        <w:t>.</w:t>
      </w:r>
    </w:p>
    <w:p w:rsidR="00575A91" w:rsidRPr="008050FB" w:rsidRDefault="00F13013" w:rsidP="00DE6815">
      <w:pPr>
        <w:spacing w:after="0" w:line="240" w:lineRule="auto"/>
        <w:ind w:left="-426" w:right="-375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mora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evidentiran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870" w:rsidRPr="008050FB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AA6870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9722FF" w:rsidRPr="008050FB">
        <w:rPr>
          <w:rFonts w:ascii="Times New Roman" w:hAnsi="Times New Roman" w:cs="Times New Roman"/>
          <w:sz w:val="24"/>
          <w:szCs w:val="24"/>
        </w:rPr>
        <w:t>i</w:t>
      </w:r>
      <w:r w:rsidR="009A38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857" w:rsidRPr="008050FB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="009A38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857" w:rsidRPr="008050FB">
        <w:rPr>
          <w:rFonts w:ascii="Times New Roman" w:hAnsi="Times New Roman" w:cs="Times New Roman"/>
          <w:sz w:val="24"/>
          <w:szCs w:val="24"/>
        </w:rPr>
        <w:t>upisanih</w:t>
      </w:r>
      <w:proofErr w:type="spellEnd"/>
      <w:r w:rsidR="009A38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857" w:rsidRPr="008050FB">
        <w:rPr>
          <w:rFonts w:ascii="Times New Roman" w:hAnsi="Times New Roman" w:cs="Times New Roman"/>
          <w:sz w:val="24"/>
          <w:szCs w:val="24"/>
        </w:rPr>
        <w:t>tereta</w:t>
      </w:r>
      <w:proofErr w:type="spellEnd"/>
      <w:r w:rsidR="009A38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građevinsku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dozvolu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>”.</w:t>
      </w:r>
    </w:p>
    <w:p w:rsidR="00776C86" w:rsidRPr="008050FB" w:rsidRDefault="000A3F93" w:rsidP="00F755C7">
      <w:pPr>
        <w:spacing w:after="0" w:line="240" w:lineRule="auto"/>
        <w:ind w:left="-426" w:right="-37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</w:t>
      </w:r>
      <w:r w:rsidR="00F13013" w:rsidRPr="008050FB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3 </w:t>
      </w:r>
      <w:r w:rsidR="00F13013" w:rsidRPr="008050FB">
        <w:rPr>
          <w:rFonts w:ascii="Times New Roman" w:hAnsi="Times New Roman" w:cs="Times New Roman"/>
          <w:sz w:val="24"/>
          <w:szCs w:val="24"/>
        </w:rPr>
        <w:t xml:space="preserve">i 4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76C86" w:rsidRPr="008050FB">
        <w:rPr>
          <w:rFonts w:ascii="Times New Roman" w:hAnsi="Times New Roman" w:cs="Times New Roman"/>
          <w:sz w:val="24"/>
          <w:szCs w:val="24"/>
        </w:rPr>
        <w:t>nema</w:t>
      </w:r>
      <w:proofErr w:type="spellEnd"/>
      <w:proofErr w:type="gram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obavezu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komunalnog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opremanja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776C86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C86" w:rsidRPr="008050FB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9205D7" w:rsidRPr="008050FB">
        <w:rPr>
          <w:rFonts w:ascii="Times New Roman" w:hAnsi="Times New Roman" w:cs="Times New Roman"/>
          <w:sz w:val="24"/>
          <w:szCs w:val="24"/>
        </w:rPr>
        <w:t>.</w:t>
      </w:r>
      <w:r w:rsidR="008831A9" w:rsidRPr="008050FB">
        <w:rPr>
          <w:rFonts w:ascii="Times New Roman" w:hAnsi="Times New Roman" w:cs="Times New Roman"/>
          <w:sz w:val="24"/>
          <w:szCs w:val="24"/>
        </w:rPr>
        <w:t>”</w:t>
      </w:r>
    </w:p>
    <w:p w:rsidR="00142197" w:rsidRPr="008050FB" w:rsidRDefault="00142197" w:rsidP="00F755C7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42197" w:rsidRPr="008050FB" w:rsidRDefault="00D82829" w:rsidP="003B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5B3004" w:rsidRPr="008050FB" w:rsidRDefault="00BA69A8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</w:t>
      </w:r>
      <w:r w:rsidR="003B7869" w:rsidRPr="008050FB">
        <w:rPr>
          <w:rFonts w:ascii="Times New Roman" w:hAnsi="Times New Roman" w:cs="Times New Roman"/>
          <w:sz w:val="24"/>
          <w:szCs w:val="24"/>
        </w:rPr>
        <w:t>lan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14 </w:t>
      </w:r>
      <w:r w:rsidR="000B4557" w:rsidRPr="008050FB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0B4557" w:rsidRPr="008050FB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="000B45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3B7869" w:rsidRPr="008050FB">
        <w:rPr>
          <w:rFonts w:ascii="Times New Roman" w:hAnsi="Times New Roman" w:cs="Times New Roman"/>
          <w:sz w:val="24"/>
          <w:szCs w:val="24"/>
        </w:rPr>
        <w:t>i</w:t>
      </w:r>
      <w:r w:rsidR="000B4557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557" w:rsidRPr="008050FB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="000B4557" w:rsidRPr="008050FB">
        <w:rPr>
          <w:rFonts w:ascii="Times New Roman" w:hAnsi="Times New Roman" w:cs="Times New Roman"/>
          <w:sz w:val="24"/>
          <w:szCs w:val="24"/>
        </w:rPr>
        <w:t>:</w:t>
      </w:r>
    </w:p>
    <w:p w:rsidR="005B3004" w:rsidRPr="008050FB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35B" w:rsidRPr="008050FB" w:rsidRDefault="003B7869" w:rsidP="008050FB">
      <w:pPr>
        <w:spacing w:after="0" w:line="240" w:lineRule="auto"/>
        <w:ind w:left="-426" w:right="-284"/>
        <w:rPr>
          <w:rFonts w:ascii="Times New Roman" w:hAnsi="Times New Roman" w:cs="Times New Roman"/>
          <w:color w:val="FF0000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8050FB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Iznos</w:t>
      </w:r>
      <w:proofErr w:type="spellEnd"/>
      <w:proofErr w:type="gram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utvrđen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umanjuje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>:</w:t>
      </w:r>
    </w:p>
    <w:p w:rsidR="0067435B" w:rsidRPr="008050FB" w:rsidRDefault="0067435B" w:rsidP="008050F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neto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do 200m</w:t>
      </w:r>
      <w:r w:rsidRPr="008050F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invest</w:t>
      </w:r>
      <w:r w:rsidR="00F15888" w:rsidRPr="008050FB">
        <w:rPr>
          <w:rFonts w:ascii="Times New Roman" w:hAnsi="Times New Roman" w:cs="Times New Roman"/>
          <w:sz w:val="24"/>
          <w:szCs w:val="24"/>
        </w:rPr>
        <w:t>i</w:t>
      </w:r>
      <w:r w:rsidR="004501AB" w:rsidRPr="008050FB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="004501A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1AB" w:rsidRPr="008050FB">
        <w:rPr>
          <w:rFonts w:ascii="Times New Roman" w:hAnsi="Times New Roman" w:cs="Times New Roman"/>
          <w:sz w:val="24"/>
          <w:szCs w:val="24"/>
        </w:rPr>
        <w:t>rješava</w:t>
      </w:r>
      <w:proofErr w:type="spellEnd"/>
      <w:r w:rsidR="004501A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1AB" w:rsidRPr="008050FB">
        <w:rPr>
          <w:rFonts w:ascii="Times New Roman" w:hAnsi="Times New Roman" w:cs="Times New Roman"/>
          <w:sz w:val="24"/>
          <w:szCs w:val="24"/>
        </w:rPr>
        <w:t>stambeno</w:t>
      </w:r>
      <w:proofErr w:type="spellEnd"/>
      <w:r w:rsidR="004501A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1AB" w:rsidRPr="008050FB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="004501AB" w:rsidRPr="008050FB">
        <w:rPr>
          <w:rFonts w:ascii="Times New Roman" w:hAnsi="Times New Roman" w:cs="Times New Roman"/>
          <w:sz w:val="24"/>
          <w:szCs w:val="24"/>
        </w:rPr>
        <w:t xml:space="preserve"> 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…………</w:t>
      </w:r>
      <w:r w:rsidR="004501AB" w:rsidRPr="008050FB">
        <w:rPr>
          <w:rFonts w:ascii="Times New Roman" w:hAnsi="Times New Roman" w:cs="Times New Roman"/>
          <w:sz w:val="24"/>
          <w:szCs w:val="24"/>
        </w:rPr>
        <w:t>…..</w:t>
      </w:r>
      <w:proofErr w:type="spellStart"/>
      <w:r w:rsidR="004501AB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4501AB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50%,</w:t>
      </w:r>
    </w:p>
    <w:p w:rsidR="0067435B" w:rsidRPr="008050FB" w:rsidRDefault="0067435B" w:rsidP="008050F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……………………………………………………….……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…………</w:t>
      </w:r>
      <w:r w:rsidR="00F15888" w:rsidRPr="008050FB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50%,</w:t>
      </w:r>
    </w:p>
    <w:p w:rsidR="0067435B" w:rsidRPr="008050FB" w:rsidRDefault="0067435B" w:rsidP="008050F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Otvoreni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prostor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parceli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projektovan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obavljanje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djelatnosti.………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…………</w:t>
      </w:r>
      <w:r w:rsidR="00F15888" w:rsidRPr="008050FB">
        <w:rPr>
          <w:rFonts w:ascii="Times New Roman" w:hAnsi="Times New Roman" w:cs="Times New Roman"/>
          <w:sz w:val="24"/>
          <w:szCs w:val="24"/>
        </w:rPr>
        <w:t xml:space="preserve">….za </w:t>
      </w:r>
      <w:r w:rsidRPr="008050FB">
        <w:rPr>
          <w:rFonts w:ascii="Times New Roman" w:hAnsi="Times New Roman" w:cs="Times New Roman"/>
          <w:sz w:val="24"/>
          <w:szCs w:val="24"/>
        </w:rPr>
        <w:t>50%,</w:t>
      </w:r>
    </w:p>
    <w:p w:rsidR="0067435B" w:rsidRPr="008050FB" w:rsidRDefault="0067435B" w:rsidP="008050F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namijenjene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novo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zapošljavanje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od 10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="00F13013" w:rsidRPr="008050FB">
        <w:rPr>
          <w:rFonts w:ascii="Times New Roman" w:hAnsi="Times New Roman" w:cs="Times New Roman"/>
          <w:sz w:val="24"/>
          <w:szCs w:val="24"/>
        </w:rPr>
        <w:t>...</w:t>
      </w:r>
      <w:r w:rsidRPr="008050FB">
        <w:rPr>
          <w:rFonts w:ascii="Times New Roman" w:hAnsi="Times New Roman" w:cs="Times New Roman"/>
          <w:sz w:val="24"/>
          <w:szCs w:val="24"/>
        </w:rPr>
        <w:t>………..………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…………</w:t>
      </w:r>
      <w:r w:rsidR="00F15888" w:rsidRPr="008050FB">
        <w:rPr>
          <w:rFonts w:ascii="Times New Roman" w:hAnsi="Times New Roman" w:cs="Times New Roman"/>
          <w:sz w:val="24"/>
          <w:szCs w:val="24"/>
        </w:rPr>
        <w:t>…</w:t>
      </w:r>
      <w:r w:rsidRPr="008050FB">
        <w:rPr>
          <w:rFonts w:ascii="Times New Roman" w:hAnsi="Times New Roman" w:cs="Times New Roman"/>
          <w:sz w:val="24"/>
          <w:szCs w:val="24"/>
        </w:rPr>
        <w:t>…</w:t>
      </w:r>
      <w:r w:rsidR="00F13013" w:rsidRPr="008050FB">
        <w:rPr>
          <w:rFonts w:ascii="Times New Roman" w:hAnsi="Times New Roman" w:cs="Times New Roman"/>
          <w:sz w:val="24"/>
          <w:szCs w:val="24"/>
        </w:rPr>
        <w:t>.</w:t>
      </w:r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r w:rsidRPr="008050FB">
        <w:rPr>
          <w:rFonts w:ascii="Times New Roman" w:hAnsi="Times New Roman" w:cs="Times New Roman"/>
          <w:sz w:val="24"/>
          <w:szCs w:val="24"/>
        </w:rPr>
        <w:t>40%,</w:t>
      </w:r>
    </w:p>
    <w:p w:rsidR="0067435B" w:rsidRPr="008050FB" w:rsidRDefault="00F15888" w:rsidP="00166C04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ugrađeni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solarni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paneli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revidovanim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glavnim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projektom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solarnog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sistema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koristi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grijanje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sanitarne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vode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grijanje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hlađenje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prostora-za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100eura</w:t>
      </w:r>
      <w:r w:rsidR="009205D7" w:rsidRPr="008050FB">
        <w:rPr>
          <w:rFonts w:ascii="Times New Roman" w:hAnsi="Times New Roman" w:cs="Times New Roman"/>
          <w:sz w:val="24"/>
          <w:szCs w:val="24"/>
        </w:rPr>
        <w:t>/</w:t>
      </w:r>
      <w:r w:rsidRPr="008050FB">
        <w:rPr>
          <w:rFonts w:ascii="Times New Roman" w:hAnsi="Times New Roman" w:cs="Times New Roman"/>
          <w:sz w:val="24"/>
          <w:szCs w:val="24"/>
        </w:rPr>
        <w:t>m</w:t>
      </w:r>
      <w:r w:rsidRPr="008050F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ugrađenog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solarnog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panela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najviše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do </w:t>
      </w:r>
      <w:r w:rsidR="0067435B" w:rsidRPr="008050FB">
        <w:rPr>
          <w:rFonts w:ascii="Times New Roman" w:hAnsi="Times New Roman" w:cs="Times New Roman"/>
          <w:sz w:val="24"/>
          <w:szCs w:val="24"/>
        </w:rPr>
        <w:t xml:space="preserve">50%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obračunate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67435B" w:rsidRPr="008050FB">
        <w:rPr>
          <w:rFonts w:ascii="Times New Roman" w:hAnsi="Times New Roman" w:cs="Times New Roman"/>
          <w:sz w:val="24"/>
          <w:szCs w:val="24"/>
        </w:rPr>
        <w:t>,</w:t>
      </w:r>
    </w:p>
    <w:p w:rsidR="0067435B" w:rsidRPr="008050FB" w:rsidRDefault="0067435B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lastRenderedPageBreak/>
        <w:t>Pretvaranje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posebnog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zajedničkog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stambene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zgrade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poslovnu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prostoriju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poslovne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prostorije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posebni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zajednički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stambene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zgrade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………….......…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………..</w:t>
      </w:r>
      <w:r w:rsidRPr="008050FB">
        <w:rPr>
          <w:rFonts w:ascii="Times New Roman" w:hAnsi="Times New Roman" w:cs="Times New Roman"/>
          <w:sz w:val="24"/>
          <w:szCs w:val="24"/>
        </w:rPr>
        <w:t>…………</w:t>
      </w:r>
      <w:r w:rsidR="009722FF" w:rsidRPr="008050FB">
        <w:rPr>
          <w:rFonts w:ascii="Times New Roman" w:hAnsi="Times New Roman" w:cs="Times New Roman"/>
          <w:sz w:val="24"/>
          <w:szCs w:val="24"/>
        </w:rPr>
        <w:t>…</w:t>
      </w:r>
      <w:r w:rsidR="00F15888" w:rsidRPr="008050FB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50%,</w:t>
      </w:r>
    </w:p>
    <w:p w:rsidR="0067435B" w:rsidRPr="008050FB" w:rsidRDefault="00F15888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Potkrovlja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neto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do 200m</w:t>
      </w:r>
      <w:r w:rsidRPr="008050F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050FB">
        <w:rPr>
          <w:rFonts w:ascii="Times New Roman" w:hAnsi="Times New Roman" w:cs="Times New Roman"/>
          <w:sz w:val="24"/>
          <w:szCs w:val="24"/>
        </w:rPr>
        <w:t>……</w:t>
      </w:r>
      <w:r w:rsidR="0067435B" w:rsidRPr="008050FB">
        <w:rPr>
          <w:rFonts w:ascii="Times New Roman" w:hAnsi="Times New Roman" w:cs="Times New Roman"/>
          <w:sz w:val="24"/>
          <w:szCs w:val="24"/>
        </w:rPr>
        <w:t>…………………</w:t>
      </w:r>
      <w:r w:rsidR="00F755C7" w:rsidRPr="008050FB">
        <w:rPr>
          <w:rFonts w:ascii="Times New Roman" w:hAnsi="Times New Roman" w:cs="Times New Roman"/>
          <w:sz w:val="24"/>
          <w:szCs w:val="24"/>
        </w:rPr>
        <w:t>..............</w:t>
      </w:r>
      <w:r w:rsidR="0067435B" w:rsidRPr="008050FB">
        <w:rPr>
          <w:rFonts w:ascii="Times New Roman" w:hAnsi="Times New Roman" w:cs="Times New Roman"/>
          <w:sz w:val="24"/>
          <w:szCs w:val="24"/>
        </w:rPr>
        <w:t>………</w:t>
      </w:r>
      <w:r w:rsidRPr="008050FB">
        <w:rPr>
          <w:rFonts w:ascii="Times New Roman" w:hAnsi="Times New Roman" w:cs="Times New Roman"/>
          <w:sz w:val="24"/>
          <w:szCs w:val="24"/>
        </w:rPr>
        <w:t xml:space="preserve">…….za </w:t>
      </w:r>
      <w:r w:rsidR="00837A5C" w:rsidRPr="008050FB">
        <w:rPr>
          <w:rFonts w:ascii="Times New Roman" w:hAnsi="Times New Roman" w:cs="Times New Roman"/>
          <w:sz w:val="24"/>
          <w:szCs w:val="24"/>
        </w:rPr>
        <w:t>7</w:t>
      </w:r>
      <w:r w:rsidR="0067435B" w:rsidRPr="008050FB">
        <w:rPr>
          <w:rFonts w:ascii="Times New Roman" w:hAnsi="Times New Roman" w:cs="Times New Roman"/>
          <w:sz w:val="24"/>
          <w:szCs w:val="24"/>
        </w:rPr>
        <w:t>0%,</w:t>
      </w:r>
    </w:p>
    <w:p w:rsidR="00966B96" w:rsidRPr="008050FB" w:rsidRDefault="00966B96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Potkrovlja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ostalim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………………...………………………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………..</w:t>
      </w:r>
      <w:r w:rsidRPr="008050FB">
        <w:rPr>
          <w:rFonts w:ascii="Times New Roman" w:hAnsi="Times New Roman" w:cs="Times New Roman"/>
          <w:sz w:val="24"/>
          <w:szCs w:val="24"/>
        </w:rPr>
        <w:t xml:space="preserve">…………….za </w:t>
      </w:r>
      <w:r w:rsidR="00837A5C" w:rsidRPr="008050FB">
        <w:rPr>
          <w:rFonts w:ascii="Times New Roman" w:hAnsi="Times New Roman" w:cs="Times New Roman"/>
          <w:sz w:val="24"/>
          <w:szCs w:val="24"/>
        </w:rPr>
        <w:t>5</w:t>
      </w:r>
      <w:r w:rsidRPr="008050FB">
        <w:rPr>
          <w:rFonts w:ascii="Times New Roman" w:hAnsi="Times New Roman" w:cs="Times New Roman"/>
          <w:sz w:val="24"/>
          <w:szCs w:val="24"/>
        </w:rPr>
        <w:t>0%,</w:t>
      </w:r>
    </w:p>
    <w:p w:rsidR="0067435B" w:rsidRPr="008050FB" w:rsidRDefault="0067435B" w:rsidP="00166C04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Rekonstrukciju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rušenje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postojećeg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izgradnju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postojećim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gabaritima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dodatno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stim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da 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mora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evidentiran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katastru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upisanih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tereta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građevinsku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dozvolu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’’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,,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nema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="00DF661E" w:rsidRPr="008050FB">
        <w:rPr>
          <w:rFonts w:ascii="Times New Roman" w:hAnsi="Times New Roman" w:cs="Times New Roman"/>
          <w:sz w:val="24"/>
          <w:szCs w:val="24"/>
        </w:rPr>
        <w:t>’’</w:t>
      </w:r>
      <w:r w:rsidRPr="008050FB">
        <w:rPr>
          <w:rFonts w:ascii="Times New Roman" w:hAnsi="Times New Roman" w:cs="Times New Roman"/>
          <w:sz w:val="24"/>
          <w:szCs w:val="24"/>
        </w:rPr>
        <w:t>….……………………</w:t>
      </w:r>
      <w:r w:rsidR="00DF661E" w:rsidRPr="008050FB">
        <w:rPr>
          <w:rFonts w:ascii="Times New Roman" w:hAnsi="Times New Roman" w:cs="Times New Roman"/>
          <w:sz w:val="24"/>
          <w:szCs w:val="24"/>
        </w:rPr>
        <w:t>………</w:t>
      </w:r>
      <w:r w:rsidR="00F15888" w:rsidRPr="008050F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D499F" w:rsidRPr="008050FB">
        <w:rPr>
          <w:rFonts w:ascii="Times New Roman" w:hAnsi="Times New Roman" w:cs="Times New Roman"/>
          <w:sz w:val="24"/>
          <w:szCs w:val="24"/>
        </w:rPr>
        <w:t>….</w:t>
      </w:r>
      <w:r w:rsidR="00F15888" w:rsidRPr="008050FB">
        <w:rPr>
          <w:rFonts w:ascii="Times New Roman" w:hAnsi="Times New Roman" w:cs="Times New Roman"/>
          <w:sz w:val="24"/>
          <w:szCs w:val="24"/>
        </w:rPr>
        <w:t>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…….</w:t>
      </w:r>
      <w:r w:rsidR="00F15888" w:rsidRPr="008050FB">
        <w:rPr>
          <w:rFonts w:ascii="Times New Roman" w:hAnsi="Times New Roman" w:cs="Times New Roman"/>
          <w:sz w:val="24"/>
          <w:szCs w:val="24"/>
        </w:rPr>
        <w:t>…..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80%</w:t>
      </w:r>
    </w:p>
    <w:p w:rsidR="0067435B" w:rsidRPr="008050FB" w:rsidRDefault="0067435B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Rekonstrukciju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kulturno-istorijskim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cjelinama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upisanih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registar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kulturnih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dobara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</w:t>
      </w:r>
      <w:r w:rsidR="00F15888" w:rsidRPr="008050FB">
        <w:rPr>
          <w:rFonts w:ascii="Times New Roman" w:hAnsi="Times New Roman" w:cs="Times New Roman"/>
          <w:sz w:val="24"/>
          <w:szCs w:val="24"/>
        </w:rPr>
        <w:t>……………</w:t>
      </w:r>
      <w:r w:rsidR="00FD499F" w:rsidRPr="008050FB">
        <w:rPr>
          <w:rFonts w:ascii="Times New Roman" w:hAnsi="Times New Roman" w:cs="Times New Roman"/>
          <w:sz w:val="24"/>
          <w:szCs w:val="24"/>
        </w:rPr>
        <w:t>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…..</w:t>
      </w:r>
      <w:r w:rsidR="00FD499F" w:rsidRPr="008050FB">
        <w:rPr>
          <w:rFonts w:ascii="Times New Roman" w:hAnsi="Times New Roman" w:cs="Times New Roman"/>
          <w:sz w:val="24"/>
          <w:szCs w:val="24"/>
        </w:rPr>
        <w:t>.</w:t>
      </w:r>
      <w:r w:rsidR="00F15888" w:rsidRPr="008050FB">
        <w:rPr>
          <w:rFonts w:ascii="Times New Roman" w:hAnsi="Times New Roman" w:cs="Times New Roman"/>
          <w:sz w:val="24"/>
          <w:szCs w:val="24"/>
        </w:rPr>
        <w:t>……..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>80%,</w:t>
      </w:r>
    </w:p>
    <w:p w:rsidR="0067435B" w:rsidRPr="008050FB" w:rsidRDefault="0067435B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Garaže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samostalni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>)</w:t>
      </w:r>
      <w:r w:rsidR="00E336DF" w:rsidRPr="008050FB">
        <w:rPr>
          <w:rFonts w:ascii="Times New Roman" w:hAnsi="Times New Roman" w:cs="Times New Roman"/>
          <w:sz w:val="24"/>
          <w:szCs w:val="24"/>
        </w:rPr>
        <w:t>. ……………………………………………………..</w:t>
      </w:r>
      <w:r w:rsidRPr="008050FB">
        <w:rPr>
          <w:rFonts w:ascii="Times New Roman" w:hAnsi="Times New Roman" w:cs="Times New Roman"/>
          <w:sz w:val="24"/>
          <w:szCs w:val="24"/>
        </w:rPr>
        <w:t>…</w:t>
      </w:r>
      <w:r w:rsidR="00FD499F" w:rsidRPr="008050FB">
        <w:rPr>
          <w:rFonts w:ascii="Times New Roman" w:hAnsi="Times New Roman" w:cs="Times New Roman"/>
          <w:sz w:val="24"/>
          <w:szCs w:val="24"/>
        </w:rPr>
        <w:t>…</w:t>
      </w:r>
      <w:r w:rsidR="00F755C7" w:rsidRPr="008050FB">
        <w:rPr>
          <w:rFonts w:ascii="Times New Roman" w:hAnsi="Times New Roman" w:cs="Times New Roman"/>
          <w:sz w:val="24"/>
          <w:szCs w:val="24"/>
        </w:rPr>
        <w:t>…….</w:t>
      </w:r>
      <w:r w:rsidR="00FD499F" w:rsidRPr="008050FB">
        <w:rPr>
          <w:rFonts w:ascii="Times New Roman" w:hAnsi="Times New Roman" w:cs="Times New Roman"/>
          <w:sz w:val="24"/>
          <w:szCs w:val="24"/>
        </w:rPr>
        <w:t>.</w:t>
      </w:r>
      <w:r w:rsidRPr="008050F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 xml:space="preserve">80%, </w:t>
      </w:r>
    </w:p>
    <w:p w:rsidR="0067435B" w:rsidRPr="008050FB" w:rsidRDefault="0067435B" w:rsidP="0067435B">
      <w:pPr>
        <w:pStyle w:val="ListParagraph"/>
        <w:numPr>
          <w:ilvl w:val="0"/>
          <w:numId w:val="1"/>
        </w:numPr>
        <w:spacing w:after="0" w:line="240" w:lineRule="auto"/>
        <w:ind w:left="-284" w:right="-284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Vjerske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……….…………………………………………………………...</w:t>
      </w:r>
      <w:r w:rsidR="00F15888" w:rsidRPr="008050FB">
        <w:rPr>
          <w:rFonts w:ascii="Times New Roman" w:hAnsi="Times New Roman" w:cs="Times New Roman"/>
          <w:sz w:val="24"/>
          <w:szCs w:val="24"/>
        </w:rPr>
        <w:t>..</w:t>
      </w:r>
      <w:r w:rsidR="00F755C7" w:rsidRPr="008050FB">
        <w:rPr>
          <w:rFonts w:ascii="Times New Roman" w:hAnsi="Times New Roman" w:cs="Times New Roman"/>
          <w:sz w:val="24"/>
          <w:szCs w:val="24"/>
        </w:rPr>
        <w:t>........</w:t>
      </w:r>
      <w:r w:rsidR="00F15888" w:rsidRPr="008050FB">
        <w:rPr>
          <w:rFonts w:ascii="Times New Roman" w:hAnsi="Times New Roman" w:cs="Times New Roman"/>
          <w:sz w:val="24"/>
          <w:szCs w:val="24"/>
        </w:rPr>
        <w:t>..</w:t>
      </w:r>
      <w:r w:rsidR="00FD499F" w:rsidRPr="008050FB">
        <w:rPr>
          <w:rFonts w:ascii="Times New Roman" w:hAnsi="Times New Roman" w:cs="Times New Roman"/>
          <w:sz w:val="24"/>
          <w:szCs w:val="24"/>
        </w:rPr>
        <w:t>...</w:t>
      </w:r>
      <w:r w:rsidR="00F15888" w:rsidRPr="008050FB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="00F1588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15888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Pr="008050FB">
        <w:rPr>
          <w:rFonts w:ascii="Times New Roman" w:hAnsi="Times New Roman" w:cs="Times New Roman"/>
          <w:sz w:val="24"/>
          <w:szCs w:val="24"/>
        </w:rPr>
        <w:t xml:space="preserve">80%, </w:t>
      </w:r>
    </w:p>
    <w:p w:rsidR="0067435B" w:rsidRPr="008050FB" w:rsidRDefault="0053119D" w:rsidP="0067435B">
      <w:pPr>
        <w:shd w:val="clear" w:color="auto" w:fill="FFFFFF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499532303"/>
      <w:r w:rsidRPr="008050F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umanjenje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iznosa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stava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ovog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dostavlja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izjava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revidenta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ispunjenosti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uslova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plaćanju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umanjenom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67435B"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" w:name="clan_16"/>
      <w:bookmarkEnd w:id="1"/>
      <w:proofErr w:type="gramEnd"/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umanjenje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alineja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47C2" w:rsidRPr="008050F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dostavlja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dokaz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investitor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članovi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njegovog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domaćinstva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koji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imaju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prebivalište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>teritoriji</w:t>
      </w:r>
      <w:proofErr w:type="spellEnd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F661E"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nemaju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svojini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stambeni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objekat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stambenu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jedinicu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teritoriji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Gore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nema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susvojini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više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jedne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trećine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ukupne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stambenog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>stambene</w:t>
      </w:r>
      <w:proofErr w:type="spellEnd"/>
      <w:r w:rsidR="00837A5C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jedinice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Crnoj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Gori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čija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površina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veća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od 99,00m</w:t>
      </w:r>
      <w:r w:rsidRPr="008050F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izjava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kućnoj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zajednici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broju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članova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porodičnog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domaćinstva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28DC" w:rsidRPr="008050FB" w:rsidRDefault="004428DC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alineja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5447C2" w:rsidRPr="008050FB">
        <w:rPr>
          <w:rFonts w:ascii="Times New Roman" w:hAnsi="Times New Roman" w:cs="Times New Roman"/>
          <w:sz w:val="24"/>
          <w:szCs w:val="24"/>
        </w:rPr>
        <w:t>4</w:t>
      </w:r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privremeno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umanjenje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provjere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investitora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revident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revizije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konačno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umanjenje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osiguranja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novozaposlenih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lica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objekte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1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alineja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47C2" w:rsidRPr="008050FB">
        <w:rPr>
          <w:rFonts w:ascii="Times New Roman" w:hAnsi="Times New Roman" w:cs="Times New Roman"/>
          <w:bCs/>
          <w:sz w:val="24"/>
          <w:szCs w:val="24"/>
        </w:rPr>
        <w:t xml:space="preserve">6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č</w:t>
      </w:r>
      <w:r w:rsidR="00837A5C" w:rsidRPr="008050FB">
        <w:rPr>
          <w:rFonts w:ascii="Times New Roman" w:hAnsi="Times New Roman" w:cs="Times New Roman"/>
          <w:bCs/>
          <w:sz w:val="24"/>
          <w:szCs w:val="24"/>
        </w:rPr>
        <w:t>lana</w:t>
      </w:r>
      <w:proofErr w:type="spellEnd"/>
      <w:r w:rsidR="00837A5C"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hAnsi="Times New Roman" w:cs="Times New Roman"/>
          <w:bCs/>
          <w:sz w:val="24"/>
          <w:szCs w:val="24"/>
        </w:rPr>
        <w:t>obračun</w:t>
      </w:r>
      <w:proofErr w:type="spellEnd"/>
      <w:r w:rsidR="00837A5C" w:rsidRPr="008050FB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837A5C" w:rsidRPr="008050FB">
        <w:rPr>
          <w:rFonts w:ascii="Times New Roman" w:hAnsi="Times New Roman" w:cs="Times New Roman"/>
          <w:bCs/>
          <w:sz w:val="24"/>
          <w:szCs w:val="24"/>
        </w:rPr>
        <w:t>vrši</w:t>
      </w:r>
      <w:proofErr w:type="spellEnd"/>
      <w:r w:rsidR="00837A5C"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hAnsi="Times New Roman" w:cs="Times New Roman"/>
          <w:bCs/>
          <w:sz w:val="24"/>
          <w:szCs w:val="24"/>
        </w:rPr>
        <w:t>na</w:t>
      </w:r>
      <w:proofErr w:type="spellEnd"/>
      <w:r w:rsidR="00837A5C"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hAnsi="Times New Roman" w:cs="Times New Roman"/>
          <w:bCs/>
          <w:sz w:val="24"/>
          <w:szCs w:val="24"/>
        </w:rPr>
        <w:t>osnovu</w:t>
      </w:r>
      <w:proofErr w:type="spellEnd"/>
      <w:r w:rsidR="00837A5C"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hAnsi="Times New Roman" w:cs="Times New Roman"/>
          <w:bCs/>
          <w:sz w:val="24"/>
          <w:szCs w:val="24"/>
        </w:rPr>
        <w:t>L</w:t>
      </w:r>
      <w:r w:rsidRPr="008050FB">
        <w:rPr>
          <w:rFonts w:ascii="Times New Roman" w:hAnsi="Times New Roman" w:cs="Times New Roman"/>
          <w:bCs/>
          <w:sz w:val="24"/>
          <w:szCs w:val="24"/>
        </w:rPr>
        <w:t>ista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nepokretnos</w:t>
      </w:r>
      <w:r w:rsidR="00837A5C" w:rsidRPr="008050FB">
        <w:rPr>
          <w:rFonts w:ascii="Times New Roman" w:hAnsi="Times New Roman" w:cs="Times New Roman"/>
          <w:bCs/>
          <w:sz w:val="24"/>
          <w:szCs w:val="24"/>
        </w:rPr>
        <w:t>t</w:t>
      </w:r>
      <w:r w:rsidRPr="008050FB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koji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organ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nadležan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izdavanje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rješenja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o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pretvaranju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dostavlja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nadležnom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bCs/>
          <w:sz w:val="24"/>
          <w:szCs w:val="24"/>
        </w:rPr>
        <w:t>organu</w:t>
      </w:r>
      <w:proofErr w:type="spellEnd"/>
      <w:r w:rsidRPr="008050FB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slučaju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alineja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6B96" w:rsidRPr="008050FB">
        <w:rPr>
          <w:rFonts w:ascii="Times New Roman" w:eastAsia="Times New Roman" w:hAnsi="Times New Roman" w:cs="Times New Roman"/>
          <w:sz w:val="24"/>
          <w:szCs w:val="24"/>
        </w:rPr>
        <w:t>1</w:t>
      </w:r>
      <w:r w:rsidR="00AF1D3C" w:rsidRPr="008050F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investitor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dužan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da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roku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050FB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konačnog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izvještaja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stručnog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nadzora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odnosno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izdavanja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upotrebne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dozvole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dostavi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konačni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izvještaj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stručnog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nadzora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utvrđenom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roku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dostave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dokazi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239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st.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4 i 7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akti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st.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2 i 3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050FB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proofErr w:type="gram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akta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proizilazi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objekat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ispunjava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uslove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kojih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ostvareno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umanjenje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naknada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utvrđuje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bez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pomenutih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umanjenja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239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st.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2 i 15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dostave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dokazi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st.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12, 13 i 14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istog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odnosno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provjere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ispunjenosti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uslova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ostvarivanje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istog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utvrdi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investitor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ispunjava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zakonom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utvrđene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uslove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nadležni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organ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službenoj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dužnosti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pokreće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postupak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donošenja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rješenja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utvrđivanju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8050FB">
        <w:rPr>
          <w:rFonts w:ascii="Times New Roman" w:eastAsia="Times New Roman" w:hAnsi="Times New Roman" w:cs="Times New Roman"/>
          <w:sz w:val="24"/>
          <w:szCs w:val="24"/>
        </w:rPr>
        <w:t>Provjeru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ispunjen</w:t>
      </w:r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>osti</w:t>
      </w:r>
      <w:proofErr w:type="spellEnd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>uslova</w:t>
      </w:r>
      <w:proofErr w:type="spellEnd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>st.</w:t>
      </w:r>
      <w:proofErr w:type="spellEnd"/>
      <w:r w:rsidR="00AA6870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D3C" w:rsidRPr="008050FB">
        <w:rPr>
          <w:rFonts w:ascii="Times New Roman" w:eastAsia="Times New Roman" w:hAnsi="Times New Roman" w:cs="Times New Roman"/>
          <w:sz w:val="24"/>
          <w:szCs w:val="24"/>
        </w:rPr>
        <w:t>8 i 9</w:t>
      </w:r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službenoj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dužnosti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nadležni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organ.</w:t>
      </w:r>
      <w:proofErr w:type="gramEnd"/>
    </w:p>
    <w:p w:rsidR="002314A6" w:rsidRPr="008050FB" w:rsidRDefault="002314A6" w:rsidP="0090708F">
      <w:pPr>
        <w:spacing w:after="0" w:line="240" w:lineRule="auto"/>
        <w:ind w:left="-426" w:right="-233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investitor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ostvaruje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B02B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B08" w:rsidRPr="008050FB">
        <w:rPr>
          <w:rFonts w:ascii="Times New Roman" w:hAnsi="Times New Roman" w:cs="Times New Roman"/>
          <w:sz w:val="24"/>
          <w:szCs w:val="24"/>
        </w:rPr>
        <w:t>umanjenje</w:t>
      </w:r>
      <w:proofErr w:type="spellEnd"/>
      <w:r w:rsidR="00B02B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B08"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B02B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B08" w:rsidRPr="008050FB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B02B0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B08" w:rsidRPr="008050FB">
        <w:rPr>
          <w:rFonts w:ascii="Times New Roman" w:hAnsi="Times New Roman" w:cs="Times New Roman"/>
          <w:sz w:val="24"/>
          <w:szCs w:val="24"/>
        </w:rPr>
        <w:t>viš</w:t>
      </w:r>
      <w:r w:rsidRPr="008050F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osnova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primjenjuje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osnov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umanjenje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povoljniji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A5C" w:rsidRPr="008050FB">
        <w:rPr>
          <w:rFonts w:ascii="Times New Roman" w:hAnsi="Times New Roman" w:cs="Times New Roman"/>
          <w:sz w:val="24"/>
          <w:szCs w:val="24"/>
        </w:rPr>
        <w:t>i</w:t>
      </w:r>
      <w:r w:rsidRPr="008050FB">
        <w:rPr>
          <w:rFonts w:ascii="Times New Roman" w:hAnsi="Times New Roman" w:cs="Times New Roman"/>
          <w:sz w:val="24"/>
          <w:szCs w:val="24"/>
        </w:rPr>
        <w:t>nvestitora</w:t>
      </w:r>
      <w:proofErr w:type="spellEnd"/>
      <w:r w:rsidR="00B02B08" w:rsidRPr="008050FB">
        <w:rPr>
          <w:rFonts w:ascii="Times New Roman" w:hAnsi="Times New Roman" w:cs="Times New Roman"/>
          <w:sz w:val="24"/>
          <w:szCs w:val="24"/>
        </w:rPr>
        <w:t>.</w:t>
      </w:r>
    </w:p>
    <w:p w:rsidR="00FD6F8A" w:rsidRPr="008050FB" w:rsidRDefault="000A3F93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objekte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stava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alineja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2, 6, 10 i 11Opština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nema</w:t>
      </w:r>
      <w:proofErr w:type="spellEnd"/>
      <w:proofErr w:type="gram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obavezu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dodatnog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komunalnog</w:t>
      </w:r>
      <w:proofErr w:type="spellEnd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6F8A" w:rsidRPr="008050FB">
        <w:rPr>
          <w:rFonts w:ascii="Times New Roman" w:eastAsia="Times New Roman" w:hAnsi="Times New Roman" w:cs="Times New Roman"/>
          <w:sz w:val="24"/>
          <w:szCs w:val="24"/>
        </w:rPr>
        <w:t>opremanja</w:t>
      </w:r>
      <w:proofErr w:type="spellEnd"/>
      <w:r w:rsidR="00B02B08"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435B" w:rsidRPr="008050FB" w:rsidRDefault="0067435B" w:rsidP="0090708F">
      <w:pPr>
        <w:shd w:val="clear" w:color="auto" w:fill="FFFFFF"/>
        <w:spacing w:after="0" w:line="240" w:lineRule="auto"/>
        <w:ind w:left="-426" w:right="-284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Naknada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može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predstavljati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50FB">
        <w:rPr>
          <w:rFonts w:ascii="Times New Roman" w:eastAsia="Times New Roman" w:hAnsi="Times New Roman" w:cs="Times New Roman"/>
          <w:sz w:val="24"/>
          <w:szCs w:val="24"/>
        </w:rPr>
        <w:t>učešće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proofErr w:type="gram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javno-privatnom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eastAsia="Times New Roman" w:hAnsi="Times New Roman" w:cs="Times New Roman"/>
          <w:sz w:val="24"/>
          <w:szCs w:val="24"/>
        </w:rPr>
        <w:t>partnerstvu</w:t>
      </w:r>
      <w:proofErr w:type="spellEnd"/>
      <w:r w:rsidRPr="008050FB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2" w:name="clan_17"/>
      <w:bookmarkEnd w:id="2"/>
      <w:r w:rsidR="00166C04" w:rsidRPr="008050FB">
        <w:rPr>
          <w:rFonts w:ascii="Times New Roman" w:eastAsia="Times New Roman" w:hAnsi="Times New Roman" w:cs="Times New Roman"/>
          <w:sz w:val="24"/>
          <w:szCs w:val="24"/>
        </w:rPr>
        <w:t>’’</w:t>
      </w:r>
    </w:p>
    <w:p w:rsidR="00926F97" w:rsidRPr="008050FB" w:rsidRDefault="00926F97" w:rsidP="003E71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4A6" w:rsidRPr="008050FB" w:rsidRDefault="00926F97" w:rsidP="00231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829" w:rsidRPr="008050FB">
        <w:rPr>
          <w:rFonts w:ascii="Times New Roman" w:hAnsi="Times New Roman" w:cs="Times New Roman"/>
          <w:b/>
          <w:sz w:val="24"/>
          <w:szCs w:val="24"/>
        </w:rPr>
        <w:t>4</w:t>
      </w:r>
    </w:p>
    <w:p w:rsidR="00DC73F8" w:rsidRPr="008050FB" w:rsidRDefault="00DC73F8" w:rsidP="00F130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Poslije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novi</w:t>
      </w:r>
      <w:proofErr w:type="spellEnd"/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17a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>:</w:t>
      </w:r>
    </w:p>
    <w:p w:rsidR="00DC73F8" w:rsidRPr="008050FB" w:rsidRDefault="0090708F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Investitorima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izvršili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uređivanje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određenu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lokaciju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sagradili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niti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građevinsku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dozvolu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građevinsku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dozvolu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nijesu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sagradili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priznaje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uplaćena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naknada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objekata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utvrđene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aktom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organa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uprave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izdavanje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građevinske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dozvole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kad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izvršeno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3F8"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="00DC73F8" w:rsidRPr="008050FB">
        <w:rPr>
          <w:rFonts w:ascii="Times New Roman" w:hAnsi="Times New Roman" w:cs="Times New Roman"/>
          <w:sz w:val="24"/>
          <w:szCs w:val="24"/>
        </w:rPr>
        <w:t>.</w:t>
      </w:r>
    </w:p>
    <w:p w:rsidR="00DC73F8" w:rsidRPr="008050FB" w:rsidRDefault="00DC73F8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lastRenderedPageBreak/>
        <w:t>Ukoliko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investitor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graditi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lokaciji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izvršio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prenijeće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drugu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lokaciju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gradi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Planom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>.</w:t>
      </w:r>
    </w:p>
    <w:p w:rsidR="00DC73F8" w:rsidRPr="008050FB" w:rsidRDefault="00DC73F8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Priznavanje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plaćene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slučajevima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vršiće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lokaciji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izvršeno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proporcionalno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namjeni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cijeni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zonu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lokaciju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građenja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novom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>.</w:t>
      </w:r>
    </w:p>
    <w:p w:rsidR="005B3004" w:rsidRPr="008050FB" w:rsidRDefault="00DC73F8" w:rsidP="0090708F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razliku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između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gradi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površine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priznaje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plaćena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1 i 2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investitori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dužni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da plate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važi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priznavanje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50FB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CA4DEA" w:rsidRPr="008050FB">
        <w:rPr>
          <w:rFonts w:ascii="Times New Roman" w:hAnsi="Times New Roman" w:cs="Times New Roman"/>
          <w:sz w:val="24"/>
          <w:szCs w:val="24"/>
        </w:rPr>
        <w:t>”</w:t>
      </w:r>
      <w:r w:rsidRPr="008050FB">
        <w:rPr>
          <w:rFonts w:ascii="Times New Roman" w:hAnsi="Times New Roman" w:cs="Times New Roman"/>
          <w:sz w:val="24"/>
          <w:szCs w:val="24"/>
        </w:rPr>
        <w:t>.</w:t>
      </w:r>
    </w:p>
    <w:p w:rsidR="003D27BE" w:rsidRPr="008050FB" w:rsidRDefault="003D27BE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04" w:rsidRPr="008050FB" w:rsidRDefault="005B3004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829" w:rsidRPr="008050FB">
        <w:rPr>
          <w:rFonts w:ascii="Times New Roman" w:hAnsi="Times New Roman" w:cs="Times New Roman"/>
          <w:b/>
          <w:sz w:val="24"/>
          <w:szCs w:val="24"/>
        </w:rPr>
        <w:t>5</w:t>
      </w:r>
    </w:p>
    <w:p w:rsidR="005B3004" w:rsidRPr="008050FB" w:rsidRDefault="008050FB" w:rsidP="0090708F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Ostali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5B3004" w:rsidRPr="008050FB">
        <w:rPr>
          <w:rFonts w:ascii="Times New Roman" w:hAnsi="Times New Roman" w:cs="Times New Roman"/>
          <w:sz w:val="24"/>
          <w:szCs w:val="24"/>
        </w:rPr>
        <w:t>dluke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ostaju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nepromijenjeni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004" w:rsidRPr="008050FB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D82829" w:rsidP="005B3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8050FB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5B3004" w:rsidRPr="008050FB" w:rsidRDefault="008050FB" w:rsidP="0090708F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5B3004" w:rsidRPr="008050FB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B3004" w:rsidRPr="008050F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r w:rsidR="0053119D" w:rsidRPr="008050FB">
        <w:rPr>
          <w:rFonts w:ascii="Times New Roman" w:hAnsi="Times New Roman" w:cs="Times New Roman"/>
          <w:sz w:val="24"/>
          <w:szCs w:val="24"/>
        </w:rPr>
        <w:t>G</w:t>
      </w:r>
      <w:r w:rsidR="005B3004" w:rsidRPr="008050FB">
        <w:rPr>
          <w:rFonts w:ascii="Times New Roman" w:hAnsi="Times New Roman" w:cs="Times New Roman"/>
          <w:sz w:val="24"/>
          <w:szCs w:val="24"/>
        </w:rPr>
        <w:t>ore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5B3004" w:rsidRPr="008050FB" w:rsidRDefault="005B3004" w:rsidP="0094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7BE" w:rsidRPr="008050FB" w:rsidRDefault="003D27BE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4FC" w:rsidRPr="008050FB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5B3004" w:rsidP="00F755C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8050F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: </w:t>
      </w:r>
      <w:r w:rsidR="00672356">
        <w:rPr>
          <w:rFonts w:ascii="Times New Roman" w:hAnsi="Times New Roman" w:cs="Times New Roman"/>
          <w:sz w:val="24"/>
          <w:szCs w:val="24"/>
        </w:rPr>
        <w:t>02-016/23- 90</w:t>
      </w:r>
    </w:p>
    <w:p w:rsidR="005B3004" w:rsidRPr="008050FB" w:rsidRDefault="005B3004" w:rsidP="00F755C7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050FB">
        <w:rPr>
          <w:rFonts w:ascii="Times New Roman" w:hAnsi="Times New Roman" w:cs="Times New Roman"/>
          <w:sz w:val="24"/>
          <w:szCs w:val="24"/>
        </w:rPr>
        <w:t xml:space="preserve">, </w:t>
      </w:r>
      <w:r w:rsidR="008050FB">
        <w:rPr>
          <w:rFonts w:ascii="Times New Roman" w:hAnsi="Times New Roman" w:cs="Times New Roman"/>
          <w:sz w:val="24"/>
          <w:szCs w:val="24"/>
        </w:rPr>
        <w:t>03.03.</w:t>
      </w:r>
      <w:r w:rsidR="006E6CC3" w:rsidRPr="008050FB">
        <w:rPr>
          <w:rFonts w:ascii="Times New Roman" w:hAnsi="Times New Roman" w:cs="Times New Roman"/>
          <w:sz w:val="24"/>
          <w:szCs w:val="24"/>
        </w:rPr>
        <w:t>202</w:t>
      </w:r>
      <w:r w:rsidR="00142458" w:rsidRPr="008050FB">
        <w:rPr>
          <w:rFonts w:ascii="Times New Roman" w:hAnsi="Times New Roman" w:cs="Times New Roman"/>
          <w:sz w:val="24"/>
          <w:szCs w:val="24"/>
        </w:rPr>
        <w:t>3</w:t>
      </w:r>
      <w:r w:rsidRPr="008050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50FB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9444FC" w:rsidRPr="008050FB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4FC" w:rsidRPr="008050FB" w:rsidRDefault="009444FC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5B3004" w:rsidP="005B3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004" w:rsidRDefault="008050FB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8050FB" w:rsidRPr="008050FB" w:rsidRDefault="008050FB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3004" w:rsidRPr="008050FB" w:rsidRDefault="008050FB" w:rsidP="006E6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004" w:rsidRPr="008050F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5B3004" w:rsidRPr="008050FB">
        <w:rPr>
          <w:rFonts w:ascii="Times New Roman" w:hAnsi="Times New Roman" w:cs="Times New Roman"/>
          <w:sz w:val="24"/>
          <w:szCs w:val="24"/>
        </w:rPr>
        <w:t>,</w:t>
      </w:r>
    </w:p>
    <w:p w:rsidR="005B3004" w:rsidRPr="008050FB" w:rsidRDefault="008050FB" w:rsidP="004428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="006E6CC3" w:rsidRPr="008050FB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6E6CC3" w:rsidRPr="00805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6CC3" w:rsidRPr="008050FB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672356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3" w:name="_GoBack"/>
      <w:bookmarkEnd w:id="3"/>
      <w:r w:rsidR="005B3004" w:rsidRPr="008050FB">
        <w:rPr>
          <w:rFonts w:ascii="Times New Roman" w:hAnsi="Times New Roman" w:cs="Times New Roman"/>
          <w:sz w:val="24"/>
          <w:szCs w:val="24"/>
        </w:rPr>
        <w:cr/>
      </w: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F8B" w:rsidRPr="008050FB" w:rsidRDefault="00406F8B" w:rsidP="00442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9A8" w:rsidRPr="008050FB" w:rsidRDefault="00BA69A8" w:rsidP="00D82829">
      <w:pPr>
        <w:spacing w:after="0" w:line="240" w:lineRule="auto"/>
        <w:ind w:right="-56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2829" w:rsidRPr="008050FB" w:rsidRDefault="00D82829" w:rsidP="00D82829">
      <w:pPr>
        <w:spacing w:after="0" w:line="240" w:lineRule="auto"/>
        <w:ind w:right="-563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5548B" w:rsidRPr="008050FB" w:rsidRDefault="0095548B" w:rsidP="00406F8B">
      <w:pPr>
        <w:spacing w:after="0" w:line="240" w:lineRule="auto"/>
        <w:ind w:right="-56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5548B" w:rsidRPr="008050FB" w:rsidRDefault="0095548B" w:rsidP="00406F8B">
      <w:pPr>
        <w:spacing w:after="0" w:line="240" w:lineRule="auto"/>
        <w:ind w:right="-56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E71B5" w:rsidRPr="008050FB" w:rsidRDefault="003E71B5" w:rsidP="00406F8B">
      <w:pPr>
        <w:spacing w:after="0" w:line="240" w:lineRule="auto"/>
        <w:ind w:right="-56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E71B5" w:rsidRPr="008050FB" w:rsidRDefault="003E71B5" w:rsidP="00406F8B">
      <w:pPr>
        <w:spacing w:after="0" w:line="240" w:lineRule="auto"/>
        <w:ind w:right="-56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06F8B" w:rsidRPr="005B3004" w:rsidRDefault="00406F8B" w:rsidP="008050FB">
      <w:pPr>
        <w:spacing w:after="0" w:line="240" w:lineRule="auto"/>
        <w:rPr>
          <w:rFonts w:ascii="Times New Roman" w:hAnsi="Times New Roman" w:cs="Times New Roman"/>
        </w:rPr>
      </w:pPr>
    </w:p>
    <w:sectPr w:rsidR="00406F8B" w:rsidRPr="005B3004" w:rsidSect="003E71B5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7319"/>
    <w:multiLevelType w:val="hybridMultilevel"/>
    <w:tmpl w:val="ED569902"/>
    <w:lvl w:ilvl="0" w:tplc="0B38B108"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04"/>
    <w:rsid w:val="0001502F"/>
    <w:rsid w:val="00031EA8"/>
    <w:rsid w:val="00075B7A"/>
    <w:rsid w:val="00077F3D"/>
    <w:rsid w:val="000A3F93"/>
    <w:rsid w:val="000B4557"/>
    <w:rsid w:val="000E6D9D"/>
    <w:rsid w:val="00114EBF"/>
    <w:rsid w:val="0012652F"/>
    <w:rsid w:val="0013467C"/>
    <w:rsid w:val="00142197"/>
    <w:rsid w:val="00142458"/>
    <w:rsid w:val="00166C04"/>
    <w:rsid w:val="001B2D4C"/>
    <w:rsid w:val="001B4E07"/>
    <w:rsid w:val="00216B63"/>
    <w:rsid w:val="002314A6"/>
    <w:rsid w:val="00235ECA"/>
    <w:rsid w:val="00242A7A"/>
    <w:rsid w:val="00245C71"/>
    <w:rsid w:val="002A023E"/>
    <w:rsid w:val="0032768A"/>
    <w:rsid w:val="00370577"/>
    <w:rsid w:val="0039459B"/>
    <w:rsid w:val="003A4391"/>
    <w:rsid w:val="003B7869"/>
    <w:rsid w:val="003D27BE"/>
    <w:rsid w:val="003E3D46"/>
    <w:rsid w:val="003E71B5"/>
    <w:rsid w:val="003F6676"/>
    <w:rsid w:val="00406F8B"/>
    <w:rsid w:val="00421273"/>
    <w:rsid w:val="0042293C"/>
    <w:rsid w:val="004428DC"/>
    <w:rsid w:val="004501AB"/>
    <w:rsid w:val="004512B3"/>
    <w:rsid w:val="00482066"/>
    <w:rsid w:val="00494CB9"/>
    <w:rsid w:val="004A36CC"/>
    <w:rsid w:val="004A72D1"/>
    <w:rsid w:val="004B30F4"/>
    <w:rsid w:val="004C0BCD"/>
    <w:rsid w:val="004E2F31"/>
    <w:rsid w:val="004E7326"/>
    <w:rsid w:val="0053119D"/>
    <w:rsid w:val="00534A2B"/>
    <w:rsid w:val="00534CDE"/>
    <w:rsid w:val="0054008F"/>
    <w:rsid w:val="005447C2"/>
    <w:rsid w:val="00575A91"/>
    <w:rsid w:val="005B3004"/>
    <w:rsid w:val="005D430B"/>
    <w:rsid w:val="005E7F4B"/>
    <w:rsid w:val="005F61D9"/>
    <w:rsid w:val="0064221E"/>
    <w:rsid w:val="00672356"/>
    <w:rsid w:val="006726BA"/>
    <w:rsid w:val="0067435B"/>
    <w:rsid w:val="00676C6B"/>
    <w:rsid w:val="006D6FFF"/>
    <w:rsid w:val="006E6CC3"/>
    <w:rsid w:val="006F662F"/>
    <w:rsid w:val="0076055C"/>
    <w:rsid w:val="00776C86"/>
    <w:rsid w:val="008050FB"/>
    <w:rsid w:val="00820A06"/>
    <w:rsid w:val="0082345E"/>
    <w:rsid w:val="00831FC3"/>
    <w:rsid w:val="00837A5C"/>
    <w:rsid w:val="0084592D"/>
    <w:rsid w:val="008831A9"/>
    <w:rsid w:val="00896644"/>
    <w:rsid w:val="0090708F"/>
    <w:rsid w:val="009205D7"/>
    <w:rsid w:val="00926F97"/>
    <w:rsid w:val="009444FC"/>
    <w:rsid w:val="00947C2B"/>
    <w:rsid w:val="009534F0"/>
    <w:rsid w:val="009542EA"/>
    <w:rsid w:val="0095548B"/>
    <w:rsid w:val="009668DB"/>
    <w:rsid w:val="00966B96"/>
    <w:rsid w:val="00966EB7"/>
    <w:rsid w:val="009722FF"/>
    <w:rsid w:val="009A3857"/>
    <w:rsid w:val="009A6180"/>
    <w:rsid w:val="009F12A3"/>
    <w:rsid w:val="00A05367"/>
    <w:rsid w:val="00A21108"/>
    <w:rsid w:val="00A74B74"/>
    <w:rsid w:val="00A962EF"/>
    <w:rsid w:val="00AA6870"/>
    <w:rsid w:val="00AB559B"/>
    <w:rsid w:val="00AC0E2E"/>
    <w:rsid w:val="00AF1D3C"/>
    <w:rsid w:val="00AF34FB"/>
    <w:rsid w:val="00B02B08"/>
    <w:rsid w:val="00B03DC7"/>
    <w:rsid w:val="00BA12C7"/>
    <w:rsid w:val="00BA69A8"/>
    <w:rsid w:val="00BB34E1"/>
    <w:rsid w:val="00C04B7E"/>
    <w:rsid w:val="00C1121C"/>
    <w:rsid w:val="00C836B0"/>
    <w:rsid w:val="00CA4DEA"/>
    <w:rsid w:val="00D17560"/>
    <w:rsid w:val="00D23EE4"/>
    <w:rsid w:val="00D3270C"/>
    <w:rsid w:val="00D82519"/>
    <w:rsid w:val="00D82829"/>
    <w:rsid w:val="00D941E4"/>
    <w:rsid w:val="00DC73F8"/>
    <w:rsid w:val="00DE6815"/>
    <w:rsid w:val="00DE6FD5"/>
    <w:rsid w:val="00DF661E"/>
    <w:rsid w:val="00E336DF"/>
    <w:rsid w:val="00E84F84"/>
    <w:rsid w:val="00E94CD4"/>
    <w:rsid w:val="00EF62FA"/>
    <w:rsid w:val="00EF6B6F"/>
    <w:rsid w:val="00F13013"/>
    <w:rsid w:val="00F15888"/>
    <w:rsid w:val="00F36679"/>
    <w:rsid w:val="00F45515"/>
    <w:rsid w:val="00F72587"/>
    <w:rsid w:val="00F755C7"/>
    <w:rsid w:val="00F82A33"/>
    <w:rsid w:val="00FA621F"/>
    <w:rsid w:val="00FB32BA"/>
    <w:rsid w:val="00FD499F"/>
    <w:rsid w:val="00FD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35B"/>
    <w:pPr>
      <w:ind w:left="720"/>
      <w:contextualSpacing/>
    </w:pPr>
  </w:style>
  <w:style w:type="paragraph" w:customStyle="1" w:styleId="yiv2449319327msonormal">
    <w:name w:val="yiv2449319327msonormal"/>
    <w:basedOn w:val="Normal"/>
    <w:rsid w:val="00DC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86"/>
    <w:rPr>
      <w:rFonts w:ascii="Tahoma" w:hAnsi="Tahoma" w:cs="Tahoma"/>
      <w:sz w:val="16"/>
      <w:szCs w:val="16"/>
    </w:rPr>
  </w:style>
  <w:style w:type="paragraph" w:customStyle="1" w:styleId="T30X">
    <w:name w:val="T30X"/>
    <w:basedOn w:val="Normal"/>
    <w:uiPriority w:val="99"/>
    <w:rsid w:val="00D82829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TableParagraph">
    <w:name w:val="Table Paragraph"/>
    <w:basedOn w:val="Normal"/>
    <w:uiPriority w:val="1"/>
    <w:qFormat/>
    <w:rsid w:val="00D82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9668DB"/>
    <w:pPr>
      <w:spacing w:after="0" w:line="240" w:lineRule="auto"/>
    </w:pPr>
    <w:rPr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668DB"/>
    <w:rPr>
      <w:sz w:val="20"/>
      <w:szCs w:val="20"/>
      <w:lang w:val="sr-Latn-BA" w:eastAsia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35B"/>
    <w:pPr>
      <w:ind w:left="720"/>
      <w:contextualSpacing/>
    </w:pPr>
  </w:style>
  <w:style w:type="paragraph" w:customStyle="1" w:styleId="yiv2449319327msonormal">
    <w:name w:val="yiv2449319327msonormal"/>
    <w:basedOn w:val="Normal"/>
    <w:rsid w:val="00DC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86"/>
    <w:rPr>
      <w:rFonts w:ascii="Tahoma" w:hAnsi="Tahoma" w:cs="Tahoma"/>
      <w:sz w:val="16"/>
      <w:szCs w:val="16"/>
    </w:rPr>
  </w:style>
  <w:style w:type="paragraph" w:customStyle="1" w:styleId="T30X">
    <w:name w:val="T30X"/>
    <w:basedOn w:val="Normal"/>
    <w:uiPriority w:val="99"/>
    <w:rsid w:val="00D82829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TableParagraph">
    <w:name w:val="Table Paragraph"/>
    <w:basedOn w:val="Normal"/>
    <w:uiPriority w:val="1"/>
    <w:qFormat/>
    <w:rsid w:val="00D82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9668DB"/>
    <w:pPr>
      <w:spacing w:after="0" w:line="240" w:lineRule="auto"/>
    </w:pPr>
    <w:rPr>
      <w:sz w:val="20"/>
      <w:szCs w:val="20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668DB"/>
    <w:rPr>
      <w:sz w:val="20"/>
      <w:szCs w:val="20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94A4B-E82D-44F5-AC79-D9CB8B1C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Athlon</cp:lastModifiedBy>
  <cp:revision>4</cp:revision>
  <cp:lastPrinted>2023-03-03T07:58:00Z</cp:lastPrinted>
  <dcterms:created xsi:type="dcterms:W3CDTF">2023-03-01T13:51:00Z</dcterms:created>
  <dcterms:modified xsi:type="dcterms:W3CDTF">2023-03-03T07:58:00Z</dcterms:modified>
</cp:coreProperties>
</file>