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844F4D">
        <w:rPr>
          <w:b/>
          <w:color w:val="000000"/>
          <w:sz w:val="24"/>
          <w:szCs w:val="24"/>
        </w:rPr>
        <w:t>474</w:t>
      </w:r>
    </w:p>
    <w:p w:rsidR="00821BE7" w:rsidRPr="00420F30" w:rsidRDefault="00844F4D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20</w:t>
      </w:r>
      <w:r w:rsidR="003A1EDC">
        <w:rPr>
          <w:b/>
          <w:color w:val="000000"/>
          <w:sz w:val="24"/>
          <w:szCs w:val="24"/>
        </w:rPr>
        <w:t>.03.2018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3A1EDC" w:rsidP="008D56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Usluge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Default="007F4127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i/>
          <w:color w:val="000000"/>
          <w:u w:val="single"/>
        </w:rPr>
        <w:t>Usluge izrade GP za rekonstrukciju postojeće rasvjete led rasvjetom</w:t>
      </w:r>
      <w:r w:rsidR="00C22DB3">
        <w:rPr>
          <w:i/>
          <w:color w:val="000000"/>
          <w:u w:val="single"/>
        </w:rPr>
        <w:t xml:space="preserve">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7F4127">
        <w:rPr>
          <w:b/>
          <w:color w:val="000000"/>
          <w:sz w:val="24"/>
          <w:szCs w:val="24"/>
        </w:rPr>
        <w:t xml:space="preserve">vke sa uračunatim PDV-om 9850 </w:t>
      </w:r>
      <w:r w:rsidRPr="0035472D">
        <w:rPr>
          <w:b/>
          <w:color w:val="000000"/>
          <w:sz w:val="24"/>
          <w:szCs w:val="24"/>
        </w:rPr>
        <w:t>€;</w:t>
      </w:r>
    </w:p>
    <w:p w:rsidR="008D5643" w:rsidRDefault="008D564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C22DB3" w:rsidRDefault="00C22DB3" w:rsidP="00C22DB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V Tehničke karakteristike ili specifikacije: </w:t>
      </w:r>
    </w:p>
    <w:p w:rsid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p w:rsidR="007F4127" w:rsidRPr="007F4127" w:rsidRDefault="007F4127" w:rsidP="007F41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Toc417218193"/>
      <w:r w:rsidRPr="007F4127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en-US"/>
        </w:rPr>
        <w:t>TEHNIČKE KARAKTERISTIKE ILI SPECIFIKACIJE PREDMETA JAVNE NABAVKE, ODNOSNO PREDMJER RADOVA</w:t>
      </w:r>
      <w:bookmarkEnd w:id="0"/>
    </w:p>
    <w:p w:rsidR="007F4127" w:rsidRPr="007F4127" w:rsidRDefault="007F4127" w:rsidP="007F4127">
      <w:pPr>
        <w:rPr>
          <w:rFonts w:ascii="Times New Roman" w:eastAsia="Calibri" w:hAnsi="Times New Roman" w:cs="Times New Roman"/>
          <w:color w:val="000000"/>
          <w:lang w:val="en-US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"/>
        <w:gridCol w:w="6019"/>
        <w:gridCol w:w="1559"/>
        <w:gridCol w:w="567"/>
        <w:gridCol w:w="583"/>
      </w:tblGrid>
      <w:tr w:rsidR="007F4127" w:rsidRPr="007F4127" w:rsidTr="008C185D">
        <w:trPr>
          <w:trHeight w:val="1906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7F41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6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7F41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7F41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7F41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7F41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7F41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(kom)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7F41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7F4127" w:rsidRPr="007F4127" w:rsidTr="008C185D">
        <w:trPr>
          <w:trHeight w:val="35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7F41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127" w:rsidRPr="007F4127" w:rsidRDefault="007F4127" w:rsidP="007F4127">
            <w:pPr>
              <w:spacing w:after="0" w:line="259" w:lineRule="auto"/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</w:pPr>
            <w:r w:rsidRPr="007F4127"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  <w:t>PROJEKTNI ZADATAK</w:t>
            </w:r>
          </w:p>
          <w:p w:rsidR="007F4127" w:rsidRPr="007F4127" w:rsidRDefault="007F4127" w:rsidP="007F4127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izradu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Glavnog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p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rojekta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zamjene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postojećih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Rožajama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LED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svjetiljkama</w:t>
            </w:r>
            <w:proofErr w:type="spellEnd"/>
          </w:p>
          <w:p w:rsidR="007F4127" w:rsidRPr="007F4127" w:rsidRDefault="007F4127" w:rsidP="007F4127">
            <w:pPr>
              <w:spacing w:after="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</w:pPr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br/>
            </w:r>
            <w:proofErr w:type="spellStart"/>
            <w:r w:rsidRPr="007F412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  <w:t>Osnovne</w:t>
            </w:r>
            <w:proofErr w:type="spellEnd"/>
            <w:r w:rsidRPr="007F412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  <w:t>napomene</w:t>
            </w:r>
            <w:proofErr w:type="spellEnd"/>
          </w:p>
          <w:p w:rsidR="007F4127" w:rsidRPr="007F4127" w:rsidRDefault="007F4127" w:rsidP="007F4127">
            <w:pPr>
              <w:spacing w:after="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Osnovno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polazište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izradi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ovog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projekta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davanje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prijedloga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Rožajama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ugradnjom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najnovije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generacije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LED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izvorima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svjetlosti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tehničkog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energetskog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ekonomskog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ekološkog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aspekta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. </w:t>
            </w:r>
          </w:p>
          <w:p w:rsidR="007F4127" w:rsidRPr="007F4127" w:rsidRDefault="007F4127" w:rsidP="007F4127">
            <w:pPr>
              <w:spacing w:after="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</w:pPr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br/>
            </w:r>
            <w:proofErr w:type="spellStart"/>
            <w:r w:rsidRPr="007F412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  <w:t>Sadržaj</w:t>
            </w:r>
            <w:proofErr w:type="spellEnd"/>
            <w:r w:rsidRPr="007F412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  <w:t>projekta</w:t>
            </w:r>
            <w:proofErr w:type="spellEnd"/>
          </w:p>
          <w:p w:rsidR="007F4127" w:rsidRPr="007F4127" w:rsidRDefault="007F4127" w:rsidP="007F4127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Prilikom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izrade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Glavnog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projekta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zamjene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postojećih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Rožajama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LED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svjetiljkama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,</w:t>
            </w:r>
          </w:p>
          <w:p w:rsidR="007F4127" w:rsidRPr="007F4127" w:rsidRDefault="007F4127" w:rsidP="007F4127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pored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osnovnih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zahtjeva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struke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standarda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normativa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projektant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treba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naročito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definišei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sledeće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:</w:t>
            </w:r>
          </w:p>
          <w:p w:rsidR="007F4127" w:rsidRPr="007F4127" w:rsidRDefault="007F4127" w:rsidP="007F4127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:rsidR="007F4127" w:rsidRPr="007F4127" w:rsidRDefault="007F4127" w:rsidP="007F4127">
            <w:p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u w:val="single"/>
                <w:lang w:val="en-GB"/>
              </w:rPr>
              <w:t>Sadržaj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u w:val="single"/>
                <w:lang w:val="en-GB"/>
              </w:rPr>
              <w:t>projekta</w:t>
            </w:r>
            <w:proofErr w:type="spellEnd"/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Tekstualni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dio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kome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će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dati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pregled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postojećeg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stanja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opis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potrebnih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radova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zamjenu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dotrajale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opreme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stubova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priključnih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ploča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stubovima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napojnih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kablova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od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priključne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ploče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svejtiljke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dati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pregled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važećih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tehničkih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preporuka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oblasti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osvjetljenja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druge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potrebne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detalje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Dati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opis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način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rada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novo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projektovanog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tehnološkog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rešenja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; 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Grafički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dio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koji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će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obuhvatiti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tehničke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opise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ili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brošure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projektovanih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svetiljki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izgled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stubova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izgled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lire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montažu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određenog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tipa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svjetiljke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određeni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oblik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detalje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montaže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svaki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tip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pregled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mjernih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mesta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pripadajućom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mrežom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blok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šemu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pozicijama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stubova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.</w:t>
            </w:r>
          </w:p>
          <w:p w:rsidR="007F4127" w:rsidRPr="007F4127" w:rsidRDefault="007F4127" w:rsidP="007F4127">
            <w:pPr>
              <w:spacing w:after="0" w:line="259" w:lineRule="auto"/>
              <w:contextualSpacing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:rsidR="007F4127" w:rsidRPr="007F4127" w:rsidRDefault="007F4127" w:rsidP="007F4127">
            <w:pPr>
              <w:spacing w:after="0" w:line="259" w:lineRule="auto"/>
              <w:contextualSpacing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u w:val="single"/>
                <w:lang w:val="en-GB"/>
              </w:rPr>
              <w:t>Detalji</w:t>
            </w:r>
            <w:proofErr w:type="spellEnd"/>
            <w:r w:rsidRPr="007F412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u w:val="single"/>
                <w:lang w:val="en-GB"/>
              </w:rPr>
              <w:t>projekta</w:t>
            </w:r>
            <w:proofErr w:type="spellEnd"/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Obeležavanje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postojećih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stubova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ulicama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pripadnosti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istih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određenim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mjernim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mestima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Evidentirati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postojeće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stubove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Rožajama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</w:t>
            </w:r>
            <w:proofErr w:type="spellEnd"/>
            <w:proofErr w:type="gram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brojem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tipom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svetlosnih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izvora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Evidentirati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broj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stubova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bez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; 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Uraditi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analizu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postojećeg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stanja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instalacija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osvjetljenja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; 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Zadržati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postojeća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stubna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mjesta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kao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postojeće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napajanje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izmjestiti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trafostanica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Predvidjeti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zamjenu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postojeće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oštećene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instalacije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</w:t>
            </w:r>
            <w:proofErr w:type="spellEnd"/>
            <w:proofErr w:type="gram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pojedinim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poljima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Komplet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izradom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svih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preveza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; </w:t>
            </w:r>
          </w:p>
          <w:p w:rsidR="007F4127" w:rsidRPr="007F4127" w:rsidRDefault="007F4127" w:rsidP="007F4127">
            <w:p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Uraditi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odgovarajuće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fotometrijske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proračune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definisanih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tipskih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profila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klasama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saobraćajnica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kojima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će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biti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pokazano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da je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prijedlog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skladu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važećim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međunarodnim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tehničkim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preporukama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standardima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ovu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oblast; 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Izraditi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proračun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energetskih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ekonomskih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efekata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koji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bi se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postigli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rekonstrukcijom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javnog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osvjetljenja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Na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osnovu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analize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postojećeg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stanja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važećih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preporuka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dati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prijedlog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investicionog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održavanja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odabirom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referentnog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tipa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koje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moraju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biti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LED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izvorima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svjetlosti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od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pouzdanog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proizvođača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opreme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(Philips,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Osram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Disano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Indal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Schreder,Lumenia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itd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.)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referencama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oblasti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rekonstrukcije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adaptacije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javnog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osvjetljenja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Tokom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definisanja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prijedloga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rekonstrukcije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iznalaženja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optimalnog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rješenja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osvjetljenja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primenjivati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sledeće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principe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da se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rješenje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osloni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postojeću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električnu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instalaciju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mrežu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da se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izvrši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klasifikacija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saobraćajnica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prema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prioritetima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da se u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skladu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definišu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klase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saobraćajnica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tipski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profili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definisane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klase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da se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predloži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racionalno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rješenje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koje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zadovoljava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potrebne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svjetlo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tehničke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kriterijume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koji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odnose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zadatu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kategoriju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saobraćajnice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tj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. da se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minimalnim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brojem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kvalitetnih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zadovolji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potreban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nivo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osvijetljenosti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da se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izborom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odgovarajućih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tipova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održavanje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instalacije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osvjetljenja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praktično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svede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minimum,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bez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potrebe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čišćenjem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zamjenom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protektora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da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se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značajno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smanji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utrošak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električne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energije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samim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tim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emisija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CO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; 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Predmjer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predračun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radova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tačnim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opisima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radova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potrebnim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količinama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sr-Latn-CS"/>
              </w:rPr>
              <w:t xml:space="preserve">, pripremljen u skladu sa Zakonom o javnim nabavkama, prilagođen za raspisivanje javne nabavke; 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 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Definisati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tehničke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karakteristike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LED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koje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treba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ugraditi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sistem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Rožajama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čemu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treba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voditi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računa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da: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nove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LED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izvorima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saobraćajnice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višim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prioritetima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trebale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bi da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budu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programiranim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dimabilnim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drajverima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što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bi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omogućilo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redukovanje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broja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časova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 u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kasnim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noćnim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satimama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Projektnim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rješenjem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obuhvatiti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koje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mogu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zadovolje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izuzetne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fotometrijske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karakteristike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vrlo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visokog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stepena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mehaničke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električne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zaštite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da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izrađene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od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kvalitetnih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nesalomivih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materijala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čime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bi bio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obezbeđen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njihov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dug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eksploatacioni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vijek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do 20godina.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mora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zadovolje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: min. 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66/min. 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IK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09/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maks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. 5500K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djelove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vangradskog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gradskog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područja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najniže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klase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saobraćajnica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min. 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IP6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6/min. 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IK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09/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maks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. 4300K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djelove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vangradskog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gradskog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područja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više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klase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saobraćajnica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Sva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oprema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mora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da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bude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ispitana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atestirana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IP, IK, ENEC, CE)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garancijomo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dminimalno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godina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u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zavisnosti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od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potreba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moraju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budu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programabilne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željenom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scenariju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da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imaju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mogućnost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regulacije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svjetlosnog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fluksa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1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Sve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mora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da</w:t>
            </w:r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bude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urađeno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skladu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važećim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preporukama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oblasti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osv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j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etljenja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; 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Projektom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  rad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demontaži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stare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opreme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montaži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novih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svjetiljki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dijelom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pripadajućim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nosačima</w:t>
            </w:r>
            <w:proofErr w:type="spellEnd"/>
            <w:r w:rsidRPr="007F4127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7F4127" w:rsidRPr="007F4127" w:rsidRDefault="007F4127" w:rsidP="007F4127">
            <w:pPr>
              <w:spacing w:after="0" w:line="259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Projektant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je u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obavezi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obuhvati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one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segmente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ove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problematike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koji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nisu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eventualno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obuhvaćeni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ovim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projektnim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zadatkom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a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koji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mogu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bitno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utiču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ekonomičnost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funkcionalnost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sistema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javne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rasvjete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o tome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obavijesti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investitora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izrade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konačne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verzije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projekta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;</w:t>
            </w:r>
          </w:p>
          <w:p w:rsidR="007F4127" w:rsidRPr="007F4127" w:rsidRDefault="007F4127" w:rsidP="007F4127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Tehničku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dokumentaciju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isporučiti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u 3 (tri) 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ukoričenih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jemstvenikom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povezanih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ovjerenih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odštampanih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primjeraka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kao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 u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sedam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kopija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nekom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od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elektronskih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medija</w:t>
            </w:r>
            <w:proofErr w:type="spellEnd"/>
            <w:r w:rsidRPr="007F4127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(CD, DVD)</w:t>
            </w:r>
          </w:p>
          <w:p w:rsidR="007F4127" w:rsidRPr="007F4127" w:rsidRDefault="007F4127" w:rsidP="007F4127">
            <w:pPr>
              <w:spacing w:after="0"/>
              <w:contextualSpacing/>
              <w:rPr>
                <w:rFonts w:ascii="Times New Roman" w:eastAsia="Calibri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7" w:rsidRPr="007F4127" w:rsidRDefault="007F4127" w:rsidP="007F4127">
            <w:pPr>
              <w:spacing w:after="0"/>
              <w:rPr>
                <w:rFonts w:ascii="Times New Roman" w:eastAsia="Calibri" w:hAnsi="Times New Roman" w:cs="Times New Roman"/>
                <w:lang w:val="sr-Latn-CS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127" w:rsidRPr="007F4127" w:rsidRDefault="007F4127" w:rsidP="007F41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7F4127">
              <w:rPr>
                <w:rFonts w:ascii="Times New Roman" w:eastAsia="Century Gothic" w:hAnsi="Times New Roman" w:cs="Calibri"/>
                <w:spacing w:val="3"/>
                <w:sz w:val="20"/>
                <w:szCs w:val="20"/>
                <w:lang w:val="en-US"/>
              </w:rPr>
              <w:t>1629</w:t>
            </w:r>
          </w:p>
        </w:tc>
      </w:tr>
      <w:tr w:rsidR="007F4127" w:rsidRPr="007F4127" w:rsidTr="008C185D">
        <w:trPr>
          <w:trHeight w:val="35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127" w:rsidRPr="007F4127" w:rsidRDefault="007F4127" w:rsidP="007F4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7F41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127" w:rsidRPr="007F4127" w:rsidRDefault="007F4127" w:rsidP="007F4127">
            <w:pPr>
              <w:spacing w:after="0"/>
              <w:rPr>
                <w:rFonts w:ascii="Times New Roman" w:eastAsia="Calibri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7" w:rsidRPr="007F4127" w:rsidRDefault="007F4127" w:rsidP="007F41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7" w:rsidRPr="007F4127" w:rsidRDefault="007F4127" w:rsidP="007F4127">
            <w:pPr>
              <w:spacing w:after="0"/>
              <w:rPr>
                <w:rFonts w:ascii="Times New Roman" w:eastAsia="Calibri" w:hAnsi="Times New Roman" w:cs="Times New Roman"/>
                <w:lang w:val="sr-Latn-CS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127" w:rsidRPr="007F4127" w:rsidRDefault="007F4127" w:rsidP="007F4127">
            <w:pPr>
              <w:spacing w:after="0"/>
              <w:rPr>
                <w:rFonts w:ascii="Times New Roman" w:eastAsia="Calibri" w:hAnsi="Times New Roman" w:cs="Times New Roman"/>
                <w:lang w:val="sr-Latn-CS"/>
              </w:rPr>
            </w:pPr>
          </w:p>
        </w:tc>
      </w:tr>
    </w:tbl>
    <w:p w:rsidR="00C22DB3" w:rsidRPr="008D5643" w:rsidRDefault="00C22DB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p w:rsidR="000A230E" w:rsidRPr="00ED12C5" w:rsidRDefault="000A230E" w:rsidP="00ED12C5">
      <w:pPr>
        <w:rPr>
          <w:b/>
        </w:rPr>
      </w:pPr>
    </w:p>
    <w:p w:rsidR="000A230E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 Način plaćanja</w:t>
      </w:r>
      <w:r w:rsidR="004E3E5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</w:p>
    <w:p w:rsidR="004E3E59" w:rsidRPr="004E3E59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1747CB" w:rsidRPr="001747CB" w:rsidRDefault="009C6FDC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1747CB">
        <w:rPr>
          <w:b/>
        </w:rPr>
        <w:t>Rok plaćanja</w:t>
      </w:r>
      <w:r w:rsidR="007F4127">
        <w:rPr>
          <w:b/>
        </w:rPr>
        <w:t xml:space="preserve"> 30 dana po dostavljanju projekta</w:t>
      </w:r>
    </w:p>
    <w:p w:rsidR="000A230E" w:rsidRPr="001747CB" w:rsidRDefault="00095A06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 Rok za dostaavljanje projekta</w:t>
      </w:r>
      <w:r w:rsidR="006D2FF5" w:rsidRPr="001747C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,</w:t>
      </w:r>
      <w:r w:rsidR="000A230E" w:rsidRPr="001747C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  <w:r w:rsidR="009C6FDC" w:rsidRPr="001747C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30</w:t>
      </w:r>
      <w:r w:rsidR="001747C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radnih</w:t>
      </w:r>
      <w:r w:rsidR="004E3E59" w:rsidRPr="001747C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dana</w:t>
      </w:r>
      <w:r w:rsidR="001747C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od dana potpisivanja ugovora</w:t>
      </w:r>
    </w:p>
    <w:p w:rsidR="000A230E" w:rsidRPr="000A230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Default="000A230E" w:rsidP="008D5643">
      <w:pPr>
        <w:pStyle w:val="ListParagraph"/>
        <w:rPr>
          <w:b/>
        </w:rPr>
      </w:pPr>
    </w:p>
    <w:p w:rsidR="000A230E" w:rsidRPr="00E2354F" w:rsidRDefault="000A230E" w:rsidP="00E23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095A06">
        <w:rPr>
          <w:rFonts w:ascii="Times New Roman" w:eastAsia="Calibri" w:hAnsi="Times New Roman" w:cs="Times New Roman"/>
          <w:sz w:val="24"/>
          <w:szCs w:val="24"/>
          <w:lang w:val="pl-PL"/>
        </w:rPr>
        <w:t>o 15 sati, zaključno sa danom 26</w:t>
      </w:r>
      <w:r w:rsidR="001747CB">
        <w:rPr>
          <w:rFonts w:ascii="Times New Roman" w:eastAsia="Calibri" w:hAnsi="Times New Roman" w:cs="Times New Roman"/>
          <w:sz w:val="24"/>
          <w:szCs w:val="24"/>
          <w:lang w:val="pl-PL"/>
        </w:rPr>
        <w:t>.03.2018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1747CB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:30  sati.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095A06">
        <w:rPr>
          <w:rFonts w:ascii="Times New Roman" w:eastAsia="Calibri" w:hAnsi="Times New Roman" w:cs="Times New Roman"/>
          <w:b/>
          <w:sz w:val="24"/>
          <w:szCs w:val="24"/>
          <w:lang w:val="pl-PL"/>
        </w:rPr>
        <w:t>26</w:t>
      </w:r>
      <w:r w:rsidR="00A81638">
        <w:rPr>
          <w:rFonts w:ascii="Times New Roman" w:eastAsia="Calibri" w:hAnsi="Times New Roman" w:cs="Times New Roman"/>
          <w:b/>
          <w:sz w:val="24"/>
          <w:szCs w:val="24"/>
          <w:lang w:val="pl-PL"/>
        </w:rPr>
        <w:t>.03.2018 godine u 11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:00 sati</w:t>
      </w: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>, u prostorijama zgrade Opštine Rožaje na adresi: Ul. Maršala Tita bb.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4E3E59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230E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Default="000A230E" w:rsidP="00FA66B3">
      <w:pPr>
        <w:spacing w:after="0"/>
        <w:rPr>
          <w:b/>
        </w:rPr>
      </w:pPr>
      <w:r w:rsidRPr="000A230E">
        <w:rPr>
          <w:b/>
        </w:rPr>
        <w:t>X Rok za donošenje obavještenja o ishodu postupka</w:t>
      </w:r>
      <w:r w:rsidR="004E3E59">
        <w:rPr>
          <w:b/>
        </w:rPr>
        <w:t>:</w:t>
      </w:r>
    </w:p>
    <w:p w:rsidR="00920361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3E59">
        <w:rPr>
          <w:b/>
        </w:rPr>
        <w:t xml:space="preserve"> </w:t>
      </w:r>
      <w:r w:rsidR="00ED12C5">
        <w:rPr>
          <w:b/>
        </w:rPr>
        <w:t>5</w:t>
      </w:r>
      <w:r w:rsidR="004E3E59" w:rsidRPr="004E3E59">
        <w:rPr>
          <w:b/>
        </w:rPr>
        <w:t xml:space="preserve"> dana od dana javnog otvaranja</w:t>
      </w:r>
      <w:r w:rsidR="00721FA6">
        <w:rPr>
          <w:b/>
        </w:rPr>
        <w:t xml:space="preserve"> 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F134E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je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je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81638" w:rsidRDefault="00A81638" w:rsidP="00A8163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dozvolu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odobrenje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drugi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akt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obavljanje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djelatnosti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predmet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ukoliko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propisan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posebnim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81638" w:rsidRDefault="00A81638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0361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F134E2" w:rsidRDefault="00F134E2" w:rsidP="00F1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E21ED" w:rsidRDefault="00F134E2" w:rsidP="00EC56D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81638" w:rsidRDefault="00A81638" w:rsidP="00A8163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posjedovanju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važeće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dozvole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licence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odobrenja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drugog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akta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282E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to:</w:t>
      </w:r>
    </w:p>
    <w:p w:rsidR="00A81638" w:rsidRDefault="00A81638" w:rsidP="00A8163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81638" w:rsidRPr="00282E32" w:rsidRDefault="00A81638" w:rsidP="00A81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282E3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Privredno društvo , pravno lice odnosno preduzetnik, treba da poseduje licencu za: </w:t>
      </w:r>
    </w:p>
    <w:p w:rsidR="00A81638" w:rsidRDefault="00095A06" w:rsidP="00A81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  Licencu za projektovanje instalacija jake struje i mašinskih postrojenja uređaja i instalacija</w:t>
      </w:r>
      <w:r w:rsidR="00A81638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095A06" w:rsidRPr="00A81638" w:rsidRDefault="00095A06" w:rsidP="00A81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="00BE07FE">
        <w:rPr>
          <w:rFonts w:ascii="Times New Roman" w:eastAsia="Calibri" w:hAnsi="Times New Roman" w:cs="Times New Roman"/>
          <w:sz w:val="24"/>
          <w:szCs w:val="24"/>
          <w:lang w:val="sr-Latn-CS"/>
        </w:rPr>
        <w:t>Licencu odgovornog projektanta  za projektovanje elektro instalacija jake struje .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Službenik za javne nabavke                                                            Ovlašćeno lice naručioca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 xml:space="preserve">             Amer Demić                                                                       </w:t>
      </w:r>
      <w:r>
        <w:rPr>
          <w:color w:val="000000"/>
        </w:rPr>
        <w:tab/>
        <w:t>Ejup Nurković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P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_____________</w:t>
      </w:r>
      <w:r w:rsidRPr="009B5B5E">
        <w:rPr>
          <w:color w:val="000000"/>
          <w:u w:val="single"/>
        </w:rPr>
        <w:t>___________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                                 </w:t>
      </w:r>
      <w:r>
        <w:rPr>
          <w:color w:val="000000"/>
          <w:u w:val="single"/>
        </w:rPr>
        <w:t xml:space="preserve">                         ____________________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07544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2C056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</w:t>
      </w:r>
      <w:bookmarkStart w:id="1" w:name="_GoBack"/>
      <w:bookmarkEnd w:id="1"/>
      <w:r w:rsidR="0007544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                                  </w:t>
      </w:r>
      <w:r w:rsidR="003A399C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  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ab/>
        <w:t xml:space="preserve">     M.P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BE07FE" w:rsidRDefault="00BE07FE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BE07FE" w:rsidRDefault="00BE07FE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BE07FE" w:rsidRDefault="00BE07FE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C17E2" w:rsidRPr="00FC17E2" w:rsidRDefault="00FC17E2" w:rsidP="00FC17E2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XI</w:t>
      </w:r>
      <w:r w:rsidR="00721FA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</w:t>
      </w: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Druge informacije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 Pouđač ponudu može dostaviti na priloženom obrazcu.</w:t>
      </w: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6D2FF5" w:rsidRPr="006D2FF5" w:rsidRDefault="006D2FF5" w:rsidP="006D2F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</w:pPr>
      <w:bookmarkStart w:id="2" w:name="_Toc490205955"/>
      <w:r w:rsidRPr="006D2F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  <w:t>FINANSIJSKI DIO PONUDE</w:t>
      </w:r>
      <w:bookmarkEnd w:id="2"/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D2FF5" w:rsidRPr="006D2FF5" w:rsidTr="00C06E84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r.b</w:t>
            </w:r>
            <w:proofErr w:type="spellEnd"/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Ukupan iznos sa PDV-om</w:t>
            </w: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lang w:val="en-US"/>
        </w:rPr>
      </w:pPr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ponude</w:t>
      </w:r>
      <w:proofErr w:type="spellEnd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ind w:left="266" w:hanging="266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before="96"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</w:tbl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Ovlašćeno lice ponuđača  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ime, prezime i funkcija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potpis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>M.P.</w:t>
      </w:r>
    </w:p>
    <w:p w:rsidR="000A230E" w:rsidRPr="00876F88" w:rsidRDefault="000A230E" w:rsidP="00876F88">
      <w:pPr>
        <w:rPr>
          <w:b/>
        </w:rPr>
      </w:pPr>
    </w:p>
    <w:p w:rsidR="00D907BC" w:rsidRPr="000A230E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0A230E" w:rsidRPr="000A230E" w:rsidRDefault="000A230E" w:rsidP="000A230E">
      <w:pPr>
        <w:tabs>
          <w:tab w:val="left" w:pos="2554"/>
        </w:tabs>
      </w:pPr>
    </w:p>
    <w:sectPr w:rsidR="000A230E" w:rsidRPr="000A23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A5" w:rsidRDefault="00730CA5" w:rsidP="00821BE7">
      <w:pPr>
        <w:spacing w:after="0" w:line="240" w:lineRule="auto"/>
      </w:pPr>
      <w:r>
        <w:separator/>
      </w:r>
    </w:p>
  </w:endnote>
  <w:endnote w:type="continuationSeparator" w:id="0">
    <w:p w:rsidR="00730CA5" w:rsidRDefault="00730CA5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A5" w:rsidRDefault="00730CA5" w:rsidP="00821BE7">
      <w:pPr>
        <w:spacing w:after="0" w:line="240" w:lineRule="auto"/>
      </w:pPr>
      <w:r>
        <w:separator/>
      </w:r>
    </w:p>
  </w:footnote>
  <w:footnote w:type="continuationSeparator" w:id="0">
    <w:p w:rsidR="00730CA5" w:rsidRDefault="00730CA5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825"/>
    <w:multiLevelType w:val="hybridMultilevel"/>
    <w:tmpl w:val="24AAD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E5D28"/>
    <w:multiLevelType w:val="multilevel"/>
    <w:tmpl w:val="3316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C01ABD"/>
    <w:multiLevelType w:val="hybridMultilevel"/>
    <w:tmpl w:val="CFD82EAE"/>
    <w:lvl w:ilvl="0" w:tplc="A0EE6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color w:val="auto"/>
        <w:lang w:val="sr-Latn-C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641B"/>
    <w:multiLevelType w:val="hybridMultilevel"/>
    <w:tmpl w:val="BE707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219E6D9D"/>
    <w:multiLevelType w:val="hybridMultilevel"/>
    <w:tmpl w:val="EF1CB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sr-Latn-C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1F4B"/>
    <w:multiLevelType w:val="hybridMultilevel"/>
    <w:tmpl w:val="8C6214CC"/>
    <w:lvl w:ilvl="0" w:tplc="AA40F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sr-Latn-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A29E8"/>
    <w:multiLevelType w:val="multilevel"/>
    <w:tmpl w:val="B0D8DC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40891811"/>
    <w:multiLevelType w:val="hybridMultilevel"/>
    <w:tmpl w:val="024C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E199E"/>
    <w:multiLevelType w:val="hybridMultilevel"/>
    <w:tmpl w:val="FDD2009A"/>
    <w:lvl w:ilvl="0" w:tplc="A0EE6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31E2D"/>
    <w:multiLevelType w:val="hybridMultilevel"/>
    <w:tmpl w:val="D73A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61382"/>
    <w:multiLevelType w:val="hybridMultilevel"/>
    <w:tmpl w:val="50C28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887448"/>
    <w:multiLevelType w:val="hybridMultilevel"/>
    <w:tmpl w:val="4A16A6C2"/>
    <w:lvl w:ilvl="0" w:tplc="06008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54788"/>
    <w:multiLevelType w:val="hybridMultilevel"/>
    <w:tmpl w:val="CE4E0978"/>
    <w:lvl w:ilvl="0" w:tplc="A0EE6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7C7E51"/>
    <w:multiLevelType w:val="hybridMultilevel"/>
    <w:tmpl w:val="70784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B78FB"/>
    <w:multiLevelType w:val="multilevel"/>
    <w:tmpl w:val="FD14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7131294E"/>
    <w:multiLevelType w:val="multilevel"/>
    <w:tmpl w:val="D15A2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>
    <w:nsid w:val="71325F04"/>
    <w:multiLevelType w:val="hybridMultilevel"/>
    <w:tmpl w:val="C4626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52F8A"/>
    <w:multiLevelType w:val="hybridMultilevel"/>
    <w:tmpl w:val="05D62FC8"/>
    <w:lvl w:ilvl="0" w:tplc="0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EB376B"/>
    <w:multiLevelType w:val="hybridMultilevel"/>
    <w:tmpl w:val="8E42E946"/>
    <w:lvl w:ilvl="0" w:tplc="A0EE6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03EC9"/>
    <w:multiLevelType w:val="hybridMultilevel"/>
    <w:tmpl w:val="B2CA88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0"/>
  </w:num>
  <w:num w:numId="5">
    <w:abstractNumId w:val="17"/>
  </w:num>
  <w:num w:numId="6">
    <w:abstractNumId w:val="5"/>
  </w:num>
  <w:num w:numId="7">
    <w:abstractNumId w:val="3"/>
  </w:num>
  <w:num w:numId="8">
    <w:abstractNumId w:val="20"/>
  </w:num>
  <w:num w:numId="9">
    <w:abstractNumId w:val="2"/>
  </w:num>
  <w:num w:numId="10">
    <w:abstractNumId w:val="19"/>
  </w:num>
  <w:num w:numId="11">
    <w:abstractNumId w:val="18"/>
  </w:num>
  <w:num w:numId="12">
    <w:abstractNumId w:val="11"/>
  </w:num>
  <w:num w:numId="13">
    <w:abstractNumId w:val="15"/>
  </w:num>
  <w:num w:numId="14">
    <w:abstractNumId w:val="9"/>
  </w:num>
  <w:num w:numId="15">
    <w:abstractNumId w:val="0"/>
  </w:num>
  <w:num w:numId="16">
    <w:abstractNumId w:val="12"/>
  </w:num>
  <w:num w:numId="17">
    <w:abstractNumId w:val="21"/>
  </w:num>
  <w:num w:numId="18">
    <w:abstractNumId w:val="8"/>
  </w:num>
  <w:num w:numId="19">
    <w:abstractNumId w:val="14"/>
  </w:num>
  <w:num w:numId="20">
    <w:abstractNumId w:val="7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14259"/>
    <w:rsid w:val="00075446"/>
    <w:rsid w:val="00095A06"/>
    <w:rsid w:val="000A230E"/>
    <w:rsid w:val="000B441A"/>
    <w:rsid w:val="000C4154"/>
    <w:rsid w:val="000C5143"/>
    <w:rsid w:val="00140151"/>
    <w:rsid w:val="001625DC"/>
    <w:rsid w:val="001747CB"/>
    <w:rsid w:val="001E2D77"/>
    <w:rsid w:val="00254116"/>
    <w:rsid w:val="002B607D"/>
    <w:rsid w:val="002C0569"/>
    <w:rsid w:val="0035472D"/>
    <w:rsid w:val="00396C76"/>
    <w:rsid w:val="003A1EDC"/>
    <w:rsid w:val="003A399C"/>
    <w:rsid w:val="00420F30"/>
    <w:rsid w:val="004372C5"/>
    <w:rsid w:val="00487165"/>
    <w:rsid w:val="004A072C"/>
    <w:rsid w:val="004E3E59"/>
    <w:rsid w:val="005B340A"/>
    <w:rsid w:val="006D2FF5"/>
    <w:rsid w:val="00721FA6"/>
    <w:rsid w:val="00730CA5"/>
    <w:rsid w:val="00775A55"/>
    <w:rsid w:val="007E31E1"/>
    <w:rsid w:val="007E54ED"/>
    <w:rsid w:val="007F4127"/>
    <w:rsid w:val="00821BE7"/>
    <w:rsid w:val="00844F4D"/>
    <w:rsid w:val="00876F88"/>
    <w:rsid w:val="008B5129"/>
    <w:rsid w:val="008D5643"/>
    <w:rsid w:val="00920361"/>
    <w:rsid w:val="009A789C"/>
    <w:rsid w:val="009B5B5E"/>
    <w:rsid w:val="009C6FDC"/>
    <w:rsid w:val="009E21ED"/>
    <w:rsid w:val="00A516CB"/>
    <w:rsid w:val="00A63C62"/>
    <w:rsid w:val="00A81638"/>
    <w:rsid w:val="00BD77DE"/>
    <w:rsid w:val="00BE07FE"/>
    <w:rsid w:val="00BF720E"/>
    <w:rsid w:val="00C052FE"/>
    <w:rsid w:val="00C07935"/>
    <w:rsid w:val="00C22DB3"/>
    <w:rsid w:val="00CA4A9B"/>
    <w:rsid w:val="00CD4161"/>
    <w:rsid w:val="00CD6440"/>
    <w:rsid w:val="00D76377"/>
    <w:rsid w:val="00D907BC"/>
    <w:rsid w:val="00E2354F"/>
    <w:rsid w:val="00EB4641"/>
    <w:rsid w:val="00EC56D4"/>
    <w:rsid w:val="00ED12C5"/>
    <w:rsid w:val="00F134E2"/>
    <w:rsid w:val="00F73ABF"/>
    <w:rsid w:val="00FA66B3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ZnakCharCharCharCharCharChar">
    <w:name w:val="Znak Char Char Char Char Char Char"/>
    <w:basedOn w:val="Normal"/>
    <w:semiHidden/>
    <w:rsid w:val="003A1E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ZnakCharCharCharCharCharChar">
    <w:name w:val="Znak Char Char Char Char Char Char"/>
    <w:basedOn w:val="Normal"/>
    <w:semiHidden/>
    <w:rsid w:val="003A1E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rozaje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TEHNIČKE KARAKTERISTIKE ILI SPECIFIKACIJE PREDMETA JAVNE NABAVKE, ODNOSNO PREDMJ</vt:lpstr>
      <vt:lpstr>    FINANSIJSKI DIO PONUDE</vt:lpstr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2017-09-20T08:01:00Z</dcterms:created>
  <dcterms:modified xsi:type="dcterms:W3CDTF">2018-03-20T12:44:00Z</dcterms:modified>
</cp:coreProperties>
</file>